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DB005" w14:textId="034A2A93" w:rsidR="00464C14" w:rsidRDefault="00BD56E6" w:rsidP="00467119">
      <w:pPr>
        <w:pStyle w:val="Default"/>
        <w:jc w:val="both"/>
        <w:rPr>
          <w:b/>
          <w:bCs/>
          <w:sz w:val="28"/>
          <w:szCs w:val="28"/>
        </w:rPr>
      </w:pPr>
      <w:r>
        <w:rPr>
          <w:b/>
          <w:bCs/>
          <w:noProof/>
          <w:sz w:val="28"/>
          <w:szCs w:val="28"/>
        </w:rPr>
        <w:drawing>
          <wp:anchor distT="0" distB="0" distL="114300" distR="114300" simplePos="0" relativeHeight="251659264" behindDoc="1" locked="0" layoutInCell="1" allowOverlap="1" wp14:anchorId="722BB941" wp14:editId="19B8B6DD">
            <wp:simplePos x="0" y="0"/>
            <wp:positionH relativeFrom="column">
              <wp:posOffset>230505</wp:posOffset>
            </wp:positionH>
            <wp:positionV relativeFrom="page">
              <wp:posOffset>447675</wp:posOffset>
            </wp:positionV>
            <wp:extent cx="1371600" cy="643890"/>
            <wp:effectExtent l="0" t="0" r="0" b="3810"/>
            <wp:wrapTight wrapText="bothSides">
              <wp:wrapPolygon edited="0">
                <wp:start x="0" y="0"/>
                <wp:lineTo x="0" y="21089"/>
                <wp:lineTo x="21300" y="21089"/>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FPA_log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643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237DE33" wp14:editId="00731681">
            <wp:simplePos x="0" y="0"/>
            <wp:positionH relativeFrom="column">
              <wp:posOffset>5697220</wp:posOffset>
            </wp:positionH>
            <wp:positionV relativeFrom="page">
              <wp:posOffset>48260</wp:posOffset>
            </wp:positionV>
            <wp:extent cx="1205230" cy="1706245"/>
            <wp:effectExtent l="0" t="0" r="0" b="8255"/>
            <wp:wrapTight wrapText="bothSides">
              <wp:wrapPolygon edited="0">
                <wp:start x="0" y="0"/>
                <wp:lineTo x="0" y="21463"/>
                <wp:lineTo x="21168" y="21463"/>
                <wp:lineTo x="21168" y="0"/>
                <wp:lineTo x="0" y="0"/>
              </wp:wrapPolygon>
            </wp:wrapTight>
            <wp:docPr id="4" name="Picture 4" descr="Image result for 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DP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5230" cy="170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A4EA3">
        <w:rPr>
          <w:b/>
          <w:bCs/>
          <w:sz w:val="28"/>
          <w:szCs w:val="28"/>
        </w:rPr>
        <w:t xml:space="preserve">  </w:t>
      </w:r>
      <w:r w:rsidR="00464C14">
        <w:rPr>
          <w:b/>
          <w:bCs/>
          <w:sz w:val="28"/>
          <w:szCs w:val="28"/>
        </w:rPr>
        <w:tab/>
      </w:r>
      <w:r w:rsidR="00464C14">
        <w:rPr>
          <w:b/>
          <w:bCs/>
          <w:sz w:val="28"/>
          <w:szCs w:val="28"/>
        </w:rPr>
        <w:tab/>
      </w:r>
      <w:r w:rsidR="00464C14">
        <w:rPr>
          <w:b/>
          <w:bCs/>
          <w:sz w:val="28"/>
          <w:szCs w:val="28"/>
        </w:rPr>
        <w:tab/>
      </w:r>
    </w:p>
    <w:p w14:paraId="2FA5497E" w14:textId="77777777" w:rsidR="00BD56E6" w:rsidRDefault="00BD56E6" w:rsidP="00467119">
      <w:pPr>
        <w:pStyle w:val="Default"/>
        <w:jc w:val="both"/>
        <w:rPr>
          <w:b/>
          <w:bCs/>
          <w:sz w:val="26"/>
          <w:szCs w:val="26"/>
        </w:rPr>
      </w:pPr>
    </w:p>
    <w:p w14:paraId="0F163B5F" w14:textId="77777777" w:rsidR="00BD56E6" w:rsidRDefault="00BD56E6" w:rsidP="00467119">
      <w:pPr>
        <w:pStyle w:val="Default"/>
        <w:jc w:val="both"/>
        <w:rPr>
          <w:b/>
          <w:bCs/>
          <w:sz w:val="26"/>
          <w:szCs w:val="26"/>
        </w:rPr>
      </w:pPr>
    </w:p>
    <w:p w14:paraId="471DFB3F" w14:textId="77777777" w:rsidR="00BD56E6" w:rsidRDefault="00BD56E6" w:rsidP="00467119">
      <w:pPr>
        <w:pStyle w:val="Default"/>
        <w:jc w:val="both"/>
        <w:rPr>
          <w:b/>
          <w:bCs/>
          <w:sz w:val="26"/>
          <w:szCs w:val="26"/>
        </w:rPr>
      </w:pPr>
    </w:p>
    <w:p w14:paraId="71B57410" w14:textId="5932763C" w:rsidR="00AA3204" w:rsidRDefault="001B7359" w:rsidP="00467119">
      <w:pPr>
        <w:pStyle w:val="Default"/>
        <w:jc w:val="center"/>
        <w:rPr>
          <w:b/>
          <w:bCs/>
          <w:sz w:val="26"/>
          <w:szCs w:val="26"/>
        </w:rPr>
      </w:pPr>
      <w:r w:rsidRPr="00C52D3D">
        <w:rPr>
          <w:b/>
          <w:bCs/>
          <w:sz w:val="26"/>
          <w:szCs w:val="26"/>
        </w:rPr>
        <w:t>Concept Note</w:t>
      </w:r>
      <w:r w:rsidR="00C52D3D" w:rsidRPr="00C52D3D">
        <w:rPr>
          <w:b/>
          <w:bCs/>
          <w:sz w:val="26"/>
          <w:szCs w:val="26"/>
        </w:rPr>
        <w:t>:</w:t>
      </w:r>
    </w:p>
    <w:p w14:paraId="15120770" w14:textId="0D14CAD1" w:rsidR="00772358" w:rsidRPr="00C52D3D" w:rsidRDefault="000A4EA3" w:rsidP="00467119">
      <w:pPr>
        <w:pStyle w:val="Default"/>
        <w:jc w:val="center"/>
        <w:rPr>
          <w:sz w:val="26"/>
          <w:szCs w:val="26"/>
        </w:rPr>
      </w:pPr>
      <w:r w:rsidRPr="00C52D3D">
        <w:rPr>
          <w:b/>
          <w:bCs/>
          <w:sz w:val="26"/>
          <w:szCs w:val="26"/>
        </w:rPr>
        <w:t xml:space="preserve">UNFPA </w:t>
      </w:r>
      <w:r w:rsidR="00C52D3D" w:rsidRPr="00C52D3D">
        <w:rPr>
          <w:b/>
          <w:bCs/>
          <w:sz w:val="26"/>
          <w:szCs w:val="26"/>
        </w:rPr>
        <w:t>&amp;</w:t>
      </w:r>
      <w:r w:rsidRPr="00C52D3D">
        <w:rPr>
          <w:b/>
          <w:bCs/>
          <w:sz w:val="26"/>
          <w:szCs w:val="26"/>
        </w:rPr>
        <w:t xml:space="preserve"> UNDP s</w:t>
      </w:r>
      <w:r w:rsidR="001B7359" w:rsidRPr="00C52D3D">
        <w:rPr>
          <w:b/>
          <w:bCs/>
          <w:sz w:val="26"/>
          <w:szCs w:val="26"/>
        </w:rPr>
        <w:t xml:space="preserve">ide-event to the </w:t>
      </w:r>
      <w:r w:rsidR="00772358" w:rsidRPr="00C52D3D">
        <w:rPr>
          <w:b/>
          <w:bCs/>
          <w:sz w:val="26"/>
          <w:szCs w:val="26"/>
        </w:rPr>
        <w:t>U</w:t>
      </w:r>
      <w:r w:rsidR="001B7359" w:rsidRPr="00C52D3D">
        <w:rPr>
          <w:b/>
          <w:bCs/>
          <w:sz w:val="26"/>
          <w:szCs w:val="26"/>
        </w:rPr>
        <w:t>N</w:t>
      </w:r>
      <w:r w:rsidR="00772358" w:rsidRPr="00C52D3D">
        <w:rPr>
          <w:b/>
          <w:bCs/>
          <w:sz w:val="26"/>
          <w:szCs w:val="26"/>
        </w:rPr>
        <w:t xml:space="preserve"> Commission on the Status of Women</w:t>
      </w:r>
      <w:r w:rsidR="001B7359" w:rsidRPr="00C52D3D">
        <w:rPr>
          <w:b/>
          <w:bCs/>
          <w:sz w:val="26"/>
          <w:szCs w:val="26"/>
        </w:rPr>
        <w:t>:</w:t>
      </w:r>
    </w:p>
    <w:p w14:paraId="6FB410FA" w14:textId="522F97DB" w:rsidR="00772358" w:rsidRDefault="00772358" w:rsidP="00467119">
      <w:pPr>
        <w:pStyle w:val="Default"/>
        <w:jc w:val="center"/>
        <w:rPr>
          <w:b/>
          <w:bCs/>
          <w:sz w:val="28"/>
          <w:szCs w:val="28"/>
        </w:rPr>
      </w:pPr>
      <w:r w:rsidRPr="001B7359">
        <w:rPr>
          <w:b/>
          <w:bCs/>
          <w:sz w:val="28"/>
          <w:szCs w:val="28"/>
        </w:rPr>
        <w:t>“</w:t>
      </w:r>
      <w:r w:rsidR="00F313D4" w:rsidRPr="001B7359">
        <w:rPr>
          <w:b/>
          <w:bCs/>
          <w:sz w:val="28"/>
          <w:szCs w:val="28"/>
        </w:rPr>
        <w:t>Let’s talk about sex work:</w:t>
      </w:r>
      <w:r w:rsidR="001B7359" w:rsidRPr="001B7359">
        <w:rPr>
          <w:b/>
          <w:bCs/>
          <w:sz w:val="28"/>
          <w:szCs w:val="28"/>
        </w:rPr>
        <w:t xml:space="preserve"> </w:t>
      </w:r>
      <w:r w:rsidR="005D48D3" w:rsidRPr="001B7359">
        <w:rPr>
          <w:b/>
          <w:bCs/>
          <w:sz w:val="28"/>
          <w:szCs w:val="28"/>
        </w:rPr>
        <w:t>a</w:t>
      </w:r>
      <w:r w:rsidR="00F313D4" w:rsidRPr="001B7359">
        <w:rPr>
          <w:b/>
          <w:bCs/>
          <w:sz w:val="28"/>
          <w:szCs w:val="28"/>
        </w:rPr>
        <w:t>ddressing the health and protection needs of sex workers”</w:t>
      </w:r>
    </w:p>
    <w:p w14:paraId="5301DA7A" w14:textId="77777777" w:rsidR="00C52D3D" w:rsidRDefault="00C52D3D" w:rsidP="00467119">
      <w:pPr>
        <w:pStyle w:val="Default"/>
        <w:jc w:val="both"/>
        <w:rPr>
          <w:b/>
          <w:sz w:val="22"/>
          <w:szCs w:val="22"/>
        </w:rPr>
      </w:pPr>
    </w:p>
    <w:p w14:paraId="0BD65E9B" w14:textId="744D42A0" w:rsidR="00772358" w:rsidRPr="007007ED" w:rsidRDefault="00772358" w:rsidP="00467119">
      <w:pPr>
        <w:pStyle w:val="Default"/>
        <w:jc w:val="both"/>
        <w:rPr>
          <w:b/>
          <w:sz w:val="22"/>
          <w:szCs w:val="22"/>
        </w:rPr>
      </w:pPr>
      <w:r w:rsidRPr="007007ED">
        <w:rPr>
          <w:b/>
          <w:sz w:val="22"/>
          <w:szCs w:val="22"/>
        </w:rPr>
        <w:t xml:space="preserve">Purpose of the side-event </w:t>
      </w:r>
    </w:p>
    <w:p w14:paraId="39F819DB" w14:textId="16847887" w:rsidR="00772358" w:rsidRDefault="00F313D4" w:rsidP="00467119">
      <w:pPr>
        <w:pStyle w:val="Default"/>
        <w:jc w:val="both"/>
        <w:rPr>
          <w:sz w:val="22"/>
          <w:szCs w:val="22"/>
        </w:rPr>
      </w:pPr>
      <w:r>
        <w:rPr>
          <w:sz w:val="22"/>
          <w:szCs w:val="22"/>
        </w:rPr>
        <w:t xml:space="preserve">Sex workers are a key population </w:t>
      </w:r>
      <w:r w:rsidR="001B7359">
        <w:rPr>
          <w:sz w:val="22"/>
          <w:szCs w:val="22"/>
        </w:rPr>
        <w:t xml:space="preserve">significantly </w:t>
      </w:r>
      <w:r>
        <w:rPr>
          <w:sz w:val="22"/>
          <w:szCs w:val="22"/>
        </w:rPr>
        <w:t xml:space="preserve">affected by HIV, violence and other human rights abuses. </w:t>
      </w:r>
      <w:r w:rsidR="00652F21">
        <w:rPr>
          <w:sz w:val="22"/>
          <w:szCs w:val="22"/>
        </w:rPr>
        <w:t xml:space="preserve">This </w:t>
      </w:r>
      <w:r w:rsidR="00043F61">
        <w:rPr>
          <w:sz w:val="22"/>
          <w:szCs w:val="22"/>
        </w:rPr>
        <w:t xml:space="preserve">side-event </w:t>
      </w:r>
      <w:r w:rsidR="00652F21">
        <w:rPr>
          <w:sz w:val="22"/>
          <w:szCs w:val="22"/>
        </w:rPr>
        <w:t xml:space="preserve">will </w:t>
      </w:r>
      <w:r w:rsidR="001B7359">
        <w:rPr>
          <w:sz w:val="22"/>
          <w:szCs w:val="22"/>
        </w:rPr>
        <w:t>raise awareness and understanding of UNFP</w:t>
      </w:r>
      <w:r w:rsidR="001B7359" w:rsidRPr="005E0F61">
        <w:rPr>
          <w:sz w:val="22"/>
          <w:szCs w:val="22"/>
        </w:rPr>
        <w:t>A</w:t>
      </w:r>
      <w:r w:rsidR="00093E62" w:rsidRPr="005E0F61">
        <w:rPr>
          <w:sz w:val="22"/>
          <w:szCs w:val="22"/>
        </w:rPr>
        <w:t>, UNDP,</w:t>
      </w:r>
      <w:r w:rsidR="001B7359" w:rsidRPr="005E0F61">
        <w:rPr>
          <w:sz w:val="22"/>
          <w:szCs w:val="22"/>
        </w:rPr>
        <w:t xml:space="preserve"> a</w:t>
      </w:r>
      <w:r w:rsidR="001B7359">
        <w:rPr>
          <w:sz w:val="22"/>
          <w:szCs w:val="22"/>
        </w:rPr>
        <w:t xml:space="preserve">nd </w:t>
      </w:r>
      <w:r w:rsidR="000E3000">
        <w:rPr>
          <w:sz w:val="22"/>
          <w:szCs w:val="22"/>
        </w:rPr>
        <w:t xml:space="preserve">other New York-based </w:t>
      </w:r>
      <w:r w:rsidR="001B7359">
        <w:rPr>
          <w:sz w:val="22"/>
          <w:szCs w:val="22"/>
        </w:rPr>
        <w:t xml:space="preserve">UN staff on the </w:t>
      </w:r>
      <w:r w:rsidR="00652F21">
        <w:rPr>
          <w:sz w:val="22"/>
          <w:szCs w:val="22"/>
        </w:rPr>
        <w:t>socio-cultural</w:t>
      </w:r>
      <w:r w:rsidR="001B7359">
        <w:rPr>
          <w:sz w:val="22"/>
          <w:szCs w:val="22"/>
        </w:rPr>
        <w:t>,</w:t>
      </w:r>
      <w:r w:rsidR="00652F21">
        <w:rPr>
          <w:sz w:val="22"/>
          <w:szCs w:val="22"/>
        </w:rPr>
        <w:t xml:space="preserve"> political </w:t>
      </w:r>
      <w:r w:rsidR="001B7359">
        <w:rPr>
          <w:sz w:val="22"/>
          <w:szCs w:val="22"/>
        </w:rPr>
        <w:t xml:space="preserve">and health challenges faced by sex workers </w:t>
      </w:r>
      <w:r w:rsidR="00652F21">
        <w:rPr>
          <w:sz w:val="22"/>
          <w:szCs w:val="22"/>
        </w:rPr>
        <w:t xml:space="preserve">that contribute to </w:t>
      </w:r>
      <w:r w:rsidR="00CB2BC1">
        <w:rPr>
          <w:sz w:val="22"/>
          <w:szCs w:val="22"/>
        </w:rPr>
        <w:t xml:space="preserve">their </w:t>
      </w:r>
      <w:r w:rsidR="00652F21">
        <w:rPr>
          <w:sz w:val="22"/>
          <w:szCs w:val="22"/>
        </w:rPr>
        <w:t>increased risk</w:t>
      </w:r>
      <w:r w:rsidR="001B7359">
        <w:rPr>
          <w:sz w:val="22"/>
          <w:szCs w:val="22"/>
        </w:rPr>
        <w:t>.</w:t>
      </w:r>
      <w:r w:rsidR="00652F21">
        <w:rPr>
          <w:sz w:val="22"/>
          <w:szCs w:val="22"/>
        </w:rPr>
        <w:t xml:space="preserve"> </w:t>
      </w:r>
      <w:r w:rsidR="00043F61">
        <w:rPr>
          <w:sz w:val="22"/>
          <w:szCs w:val="22"/>
        </w:rPr>
        <w:t xml:space="preserve">The side-event will also </w:t>
      </w:r>
      <w:r w:rsidR="00652F21">
        <w:rPr>
          <w:sz w:val="22"/>
          <w:szCs w:val="22"/>
        </w:rPr>
        <w:t xml:space="preserve">examine UN and other </w:t>
      </w:r>
      <w:r w:rsidR="00A23141">
        <w:rPr>
          <w:sz w:val="22"/>
          <w:szCs w:val="22"/>
        </w:rPr>
        <w:t xml:space="preserve">development </w:t>
      </w:r>
      <w:r w:rsidR="00652F21">
        <w:rPr>
          <w:sz w:val="22"/>
          <w:szCs w:val="22"/>
        </w:rPr>
        <w:t xml:space="preserve">responses that aim to empower sex </w:t>
      </w:r>
      <w:r w:rsidR="0000008F">
        <w:rPr>
          <w:sz w:val="22"/>
          <w:szCs w:val="22"/>
        </w:rPr>
        <w:t>workers,</w:t>
      </w:r>
      <w:r w:rsidR="00652F21">
        <w:rPr>
          <w:sz w:val="22"/>
          <w:szCs w:val="22"/>
        </w:rPr>
        <w:t xml:space="preserve"> so they may live and work safely. </w:t>
      </w:r>
      <w:r w:rsidR="00043F61">
        <w:rPr>
          <w:sz w:val="22"/>
          <w:szCs w:val="22"/>
        </w:rPr>
        <w:t xml:space="preserve">It is a learning opportunity to help overcome unconscious biases held by some UN staff about sex </w:t>
      </w:r>
      <w:r w:rsidR="0000008F">
        <w:rPr>
          <w:sz w:val="22"/>
          <w:szCs w:val="22"/>
        </w:rPr>
        <w:t>work and</w:t>
      </w:r>
      <w:r w:rsidR="00043F61">
        <w:rPr>
          <w:sz w:val="22"/>
          <w:szCs w:val="22"/>
        </w:rPr>
        <w:t xml:space="preserve"> increase support for </w:t>
      </w:r>
      <w:r w:rsidR="00CB2BC1">
        <w:rPr>
          <w:sz w:val="22"/>
          <w:szCs w:val="22"/>
        </w:rPr>
        <w:t xml:space="preserve">UN </w:t>
      </w:r>
      <w:r w:rsidR="00043F61">
        <w:rPr>
          <w:sz w:val="22"/>
          <w:szCs w:val="22"/>
        </w:rPr>
        <w:t xml:space="preserve">interventions with and for sex workers. </w:t>
      </w:r>
      <w:r w:rsidR="00652F21">
        <w:rPr>
          <w:sz w:val="22"/>
          <w:szCs w:val="22"/>
        </w:rPr>
        <w:t xml:space="preserve">A </w:t>
      </w:r>
      <w:r w:rsidR="00A23141">
        <w:rPr>
          <w:sz w:val="22"/>
          <w:szCs w:val="22"/>
        </w:rPr>
        <w:t xml:space="preserve">CSW </w:t>
      </w:r>
      <w:r w:rsidR="00652F21">
        <w:rPr>
          <w:sz w:val="22"/>
          <w:szCs w:val="22"/>
        </w:rPr>
        <w:t xml:space="preserve">delegation of the </w:t>
      </w:r>
      <w:r w:rsidR="00CB2BC1">
        <w:rPr>
          <w:sz w:val="22"/>
          <w:szCs w:val="22"/>
        </w:rPr>
        <w:t>G</w:t>
      </w:r>
      <w:r w:rsidR="00652F21">
        <w:rPr>
          <w:sz w:val="22"/>
          <w:szCs w:val="22"/>
        </w:rPr>
        <w:t>lobal Network of Sex Work Projects</w:t>
      </w:r>
      <w:r w:rsidR="000F76F3">
        <w:rPr>
          <w:rStyle w:val="FootnoteReference"/>
          <w:sz w:val="22"/>
          <w:szCs w:val="22"/>
        </w:rPr>
        <w:footnoteReference w:id="1"/>
      </w:r>
      <w:r w:rsidR="00652F21">
        <w:rPr>
          <w:sz w:val="22"/>
          <w:szCs w:val="22"/>
        </w:rPr>
        <w:t xml:space="preserve"> </w:t>
      </w:r>
      <w:r w:rsidR="00CB2BC1">
        <w:rPr>
          <w:sz w:val="22"/>
          <w:szCs w:val="22"/>
        </w:rPr>
        <w:t xml:space="preserve">will </w:t>
      </w:r>
      <w:r w:rsidR="00652F21">
        <w:rPr>
          <w:sz w:val="22"/>
          <w:szCs w:val="22"/>
        </w:rPr>
        <w:t xml:space="preserve">share their experiences and efforts to </w:t>
      </w:r>
      <w:r w:rsidR="00CB2BC1">
        <w:rPr>
          <w:sz w:val="22"/>
          <w:szCs w:val="22"/>
        </w:rPr>
        <w:t xml:space="preserve">promote and </w:t>
      </w:r>
      <w:r w:rsidR="00652F21">
        <w:rPr>
          <w:sz w:val="22"/>
          <w:szCs w:val="22"/>
        </w:rPr>
        <w:t>protect the rights of sex workers. The side</w:t>
      </w:r>
      <w:r w:rsidR="001B7359">
        <w:rPr>
          <w:sz w:val="22"/>
          <w:szCs w:val="22"/>
        </w:rPr>
        <w:t>-</w:t>
      </w:r>
      <w:r w:rsidR="00652F21">
        <w:rPr>
          <w:sz w:val="22"/>
          <w:szCs w:val="22"/>
        </w:rPr>
        <w:t xml:space="preserve">event </w:t>
      </w:r>
      <w:r w:rsidR="001B7359">
        <w:rPr>
          <w:sz w:val="22"/>
          <w:szCs w:val="22"/>
        </w:rPr>
        <w:t xml:space="preserve">will </w:t>
      </w:r>
      <w:r w:rsidR="00652F21">
        <w:rPr>
          <w:sz w:val="22"/>
          <w:szCs w:val="22"/>
        </w:rPr>
        <w:t xml:space="preserve">explore how sex workers, as </w:t>
      </w:r>
      <w:r w:rsidR="005D48D3">
        <w:rPr>
          <w:sz w:val="22"/>
          <w:szCs w:val="22"/>
        </w:rPr>
        <w:t xml:space="preserve">a </w:t>
      </w:r>
      <w:r w:rsidR="00652F21">
        <w:rPr>
          <w:sz w:val="22"/>
          <w:szCs w:val="22"/>
        </w:rPr>
        <w:t>marginalized group within society, can be empowered to ensure they are not left behind</w:t>
      </w:r>
      <w:r w:rsidR="000E3000">
        <w:rPr>
          <w:sz w:val="22"/>
          <w:szCs w:val="22"/>
        </w:rPr>
        <w:t xml:space="preserve"> </w:t>
      </w:r>
      <w:r w:rsidR="00CB2BC1">
        <w:rPr>
          <w:sz w:val="22"/>
          <w:szCs w:val="22"/>
        </w:rPr>
        <w:t xml:space="preserve">or </w:t>
      </w:r>
      <w:r w:rsidR="00652F21">
        <w:rPr>
          <w:sz w:val="22"/>
          <w:szCs w:val="22"/>
        </w:rPr>
        <w:t>left out of development responses. UNFPA and UNDP are co-hosting the side</w:t>
      </w:r>
      <w:r w:rsidR="001B7359">
        <w:rPr>
          <w:sz w:val="22"/>
          <w:szCs w:val="22"/>
        </w:rPr>
        <w:t>-</w:t>
      </w:r>
      <w:r w:rsidR="00652F21">
        <w:rPr>
          <w:sz w:val="22"/>
          <w:szCs w:val="22"/>
        </w:rPr>
        <w:t xml:space="preserve">event, as </w:t>
      </w:r>
      <w:r w:rsidR="00131286">
        <w:rPr>
          <w:sz w:val="22"/>
          <w:szCs w:val="22"/>
        </w:rPr>
        <w:t>c</w:t>
      </w:r>
      <w:r w:rsidR="007F640E" w:rsidRPr="007F640E">
        <w:rPr>
          <w:sz w:val="22"/>
          <w:szCs w:val="22"/>
        </w:rPr>
        <w:t>o-conveners of the work on empowering sex workers to access prevention and other HIV services under the Joint UN Programme on HIV/AIDS</w:t>
      </w:r>
      <w:r w:rsidR="00131286">
        <w:rPr>
          <w:sz w:val="22"/>
          <w:szCs w:val="22"/>
        </w:rPr>
        <w:t>.</w:t>
      </w:r>
      <w:r w:rsidR="007F640E" w:rsidRPr="007F640E">
        <w:rPr>
          <w:sz w:val="22"/>
          <w:szCs w:val="22"/>
        </w:rPr>
        <w:t xml:space="preserve"> </w:t>
      </w:r>
      <w:r w:rsidR="00131286">
        <w:rPr>
          <w:sz w:val="22"/>
          <w:szCs w:val="22"/>
        </w:rPr>
        <w:t>UNFPA and UNDP</w:t>
      </w:r>
      <w:bookmarkStart w:id="0" w:name="_GoBack"/>
      <w:bookmarkEnd w:id="0"/>
      <w:r w:rsidR="00131286">
        <w:rPr>
          <w:sz w:val="22"/>
          <w:szCs w:val="22"/>
        </w:rPr>
        <w:t xml:space="preserve"> are</w:t>
      </w:r>
      <w:r w:rsidR="007F640E">
        <w:rPr>
          <w:sz w:val="22"/>
          <w:szCs w:val="22"/>
        </w:rPr>
        <w:t xml:space="preserve"> </w:t>
      </w:r>
      <w:r w:rsidR="00652F21">
        <w:rPr>
          <w:sz w:val="22"/>
          <w:szCs w:val="22"/>
        </w:rPr>
        <w:t xml:space="preserve">lead UN agencies </w:t>
      </w:r>
      <w:r w:rsidR="005D48D3">
        <w:rPr>
          <w:sz w:val="22"/>
          <w:szCs w:val="22"/>
        </w:rPr>
        <w:t xml:space="preserve">in the </w:t>
      </w:r>
      <w:r w:rsidR="00652F21">
        <w:rPr>
          <w:sz w:val="22"/>
          <w:szCs w:val="22"/>
        </w:rPr>
        <w:t>UN response to reducing HIV and violence in the context of sex work –</w:t>
      </w:r>
      <w:r w:rsidR="005D48D3">
        <w:rPr>
          <w:sz w:val="22"/>
          <w:szCs w:val="22"/>
        </w:rPr>
        <w:t xml:space="preserve"> against </w:t>
      </w:r>
      <w:r w:rsidR="00652F21">
        <w:rPr>
          <w:sz w:val="22"/>
          <w:szCs w:val="22"/>
        </w:rPr>
        <w:t>sex workers, their clients</w:t>
      </w:r>
      <w:r w:rsidR="005D48D3">
        <w:rPr>
          <w:sz w:val="22"/>
          <w:szCs w:val="22"/>
        </w:rPr>
        <w:t>,</w:t>
      </w:r>
      <w:r w:rsidR="00652F21">
        <w:rPr>
          <w:sz w:val="22"/>
          <w:szCs w:val="22"/>
        </w:rPr>
        <w:t xml:space="preserve"> </w:t>
      </w:r>
      <w:r w:rsidR="00CB2BC1">
        <w:rPr>
          <w:sz w:val="22"/>
          <w:szCs w:val="22"/>
        </w:rPr>
        <w:t xml:space="preserve">their </w:t>
      </w:r>
      <w:r w:rsidR="00652F21">
        <w:rPr>
          <w:sz w:val="22"/>
          <w:szCs w:val="22"/>
        </w:rPr>
        <w:t>other sexual partners and family members.</w:t>
      </w:r>
      <w:r w:rsidR="007007ED">
        <w:rPr>
          <w:sz w:val="22"/>
          <w:szCs w:val="22"/>
        </w:rPr>
        <w:t xml:space="preserve"> </w:t>
      </w:r>
      <w:r w:rsidR="000A4EA3">
        <w:rPr>
          <w:sz w:val="22"/>
          <w:szCs w:val="22"/>
        </w:rPr>
        <w:t xml:space="preserve">UNFPA also supports provision of </w:t>
      </w:r>
      <w:r w:rsidR="000A4EA3" w:rsidRPr="000A4EA3">
        <w:rPr>
          <w:sz w:val="22"/>
          <w:szCs w:val="22"/>
        </w:rPr>
        <w:t xml:space="preserve">integrated </w:t>
      </w:r>
      <w:r w:rsidR="000A4EA3">
        <w:rPr>
          <w:sz w:val="22"/>
          <w:szCs w:val="22"/>
        </w:rPr>
        <w:t xml:space="preserve">SRH and </w:t>
      </w:r>
      <w:r w:rsidR="000A4EA3" w:rsidRPr="000A4EA3">
        <w:rPr>
          <w:sz w:val="22"/>
          <w:szCs w:val="22"/>
        </w:rPr>
        <w:t xml:space="preserve">HIV services for </w:t>
      </w:r>
      <w:r w:rsidR="000A4EA3">
        <w:rPr>
          <w:sz w:val="22"/>
          <w:szCs w:val="22"/>
        </w:rPr>
        <w:t>all including</w:t>
      </w:r>
      <w:r w:rsidR="000A4EA3" w:rsidRPr="000A4EA3">
        <w:rPr>
          <w:sz w:val="22"/>
          <w:szCs w:val="22"/>
        </w:rPr>
        <w:t xml:space="preserve"> key populations</w:t>
      </w:r>
      <w:r w:rsidR="000A4EA3">
        <w:rPr>
          <w:sz w:val="22"/>
          <w:szCs w:val="22"/>
        </w:rPr>
        <w:t xml:space="preserve"> and</w:t>
      </w:r>
      <w:r w:rsidR="000A4EA3" w:rsidRPr="000A4EA3">
        <w:rPr>
          <w:sz w:val="22"/>
          <w:szCs w:val="22"/>
        </w:rPr>
        <w:t xml:space="preserve"> people living with HIV. </w:t>
      </w:r>
      <w:r w:rsidR="00A23141">
        <w:rPr>
          <w:sz w:val="22"/>
          <w:szCs w:val="22"/>
        </w:rPr>
        <w:t xml:space="preserve">UNDP leads efforts for criminal law reform to increase supportive legal environments. </w:t>
      </w:r>
      <w:r w:rsidR="000A4EA3">
        <w:rPr>
          <w:sz w:val="22"/>
          <w:szCs w:val="22"/>
        </w:rPr>
        <w:t xml:space="preserve">Both </w:t>
      </w:r>
      <w:r w:rsidR="000A4EA3" w:rsidRPr="000A4EA3">
        <w:rPr>
          <w:sz w:val="22"/>
          <w:szCs w:val="22"/>
        </w:rPr>
        <w:t xml:space="preserve">UNFPA </w:t>
      </w:r>
      <w:r w:rsidR="000A4EA3">
        <w:rPr>
          <w:sz w:val="22"/>
          <w:szCs w:val="22"/>
        </w:rPr>
        <w:t xml:space="preserve">and UNDP </w:t>
      </w:r>
      <w:r w:rsidR="000A4EA3" w:rsidRPr="000A4EA3">
        <w:rPr>
          <w:sz w:val="22"/>
          <w:szCs w:val="22"/>
        </w:rPr>
        <w:t>support the empowerment of people to claim their human rights and access the services they need</w:t>
      </w:r>
      <w:r w:rsidR="000A4EA3">
        <w:rPr>
          <w:sz w:val="22"/>
          <w:szCs w:val="22"/>
        </w:rPr>
        <w:t xml:space="preserve">. </w:t>
      </w:r>
      <w:r w:rsidR="007007ED">
        <w:rPr>
          <w:sz w:val="22"/>
          <w:szCs w:val="22"/>
        </w:rPr>
        <w:t>The side</w:t>
      </w:r>
      <w:r w:rsidR="001B7359">
        <w:rPr>
          <w:sz w:val="22"/>
          <w:szCs w:val="22"/>
        </w:rPr>
        <w:t>-</w:t>
      </w:r>
      <w:r w:rsidR="007007ED">
        <w:rPr>
          <w:sz w:val="22"/>
          <w:szCs w:val="22"/>
        </w:rPr>
        <w:t xml:space="preserve">event will be recorded for later sharing with UNFPA field staff, to </w:t>
      </w:r>
      <w:r w:rsidR="005D48D3">
        <w:rPr>
          <w:sz w:val="22"/>
          <w:szCs w:val="22"/>
        </w:rPr>
        <w:t xml:space="preserve">encourage </w:t>
      </w:r>
      <w:r w:rsidR="001B7359">
        <w:rPr>
          <w:sz w:val="22"/>
          <w:szCs w:val="22"/>
        </w:rPr>
        <w:t xml:space="preserve">further </w:t>
      </w:r>
      <w:r w:rsidR="007007ED">
        <w:rPr>
          <w:sz w:val="22"/>
          <w:szCs w:val="22"/>
        </w:rPr>
        <w:t>engagement with local sex worker communities through national programmes. The side</w:t>
      </w:r>
      <w:r w:rsidR="001B7359">
        <w:rPr>
          <w:sz w:val="22"/>
          <w:szCs w:val="22"/>
        </w:rPr>
        <w:t>-</w:t>
      </w:r>
      <w:r w:rsidR="007007ED">
        <w:rPr>
          <w:sz w:val="22"/>
          <w:szCs w:val="22"/>
        </w:rPr>
        <w:t xml:space="preserve">event </w:t>
      </w:r>
      <w:r w:rsidR="00772358">
        <w:rPr>
          <w:sz w:val="22"/>
          <w:szCs w:val="22"/>
        </w:rPr>
        <w:t xml:space="preserve">aims to contribute to the wider discussion on </w:t>
      </w:r>
      <w:r w:rsidR="007007ED">
        <w:rPr>
          <w:sz w:val="22"/>
          <w:szCs w:val="22"/>
        </w:rPr>
        <w:t xml:space="preserve">acceptance of sex work as decent </w:t>
      </w:r>
      <w:r w:rsidR="005D48D3">
        <w:rPr>
          <w:sz w:val="22"/>
          <w:szCs w:val="22"/>
        </w:rPr>
        <w:t xml:space="preserve">work </w:t>
      </w:r>
      <w:r w:rsidR="007007ED">
        <w:rPr>
          <w:sz w:val="22"/>
          <w:szCs w:val="22"/>
        </w:rPr>
        <w:t xml:space="preserve">requiring </w:t>
      </w:r>
      <w:r w:rsidR="00A23141">
        <w:rPr>
          <w:sz w:val="22"/>
          <w:szCs w:val="22"/>
        </w:rPr>
        <w:t xml:space="preserve">appropriate </w:t>
      </w:r>
      <w:r w:rsidR="007007ED">
        <w:rPr>
          <w:sz w:val="22"/>
          <w:szCs w:val="22"/>
        </w:rPr>
        <w:t>health and safety standards.</w:t>
      </w:r>
      <w:r w:rsidR="00772358">
        <w:rPr>
          <w:sz w:val="22"/>
          <w:szCs w:val="22"/>
        </w:rPr>
        <w:t xml:space="preserve"> </w:t>
      </w:r>
      <w:r w:rsidR="00043F61">
        <w:rPr>
          <w:sz w:val="22"/>
          <w:szCs w:val="22"/>
        </w:rPr>
        <w:t xml:space="preserve">It </w:t>
      </w:r>
      <w:r w:rsidR="007007ED">
        <w:rPr>
          <w:sz w:val="22"/>
          <w:szCs w:val="22"/>
        </w:rPr>
        <w:t xml:space="preserve">will </w:t>
      </w:r>
      <w:r w:rsidR="001B7359">
        <w:rPr>
          <w:sz w:val="22"/>
          <w:szCs w:val="22"/>
        </w:rPr>
        <w:t xml:space="preserve">further </w:t>
      </w:r>
      <w:r w:rsidR="005D48D3">
        <w:rPr>
          <w:sz w:val="22"/>
          <w:szCs w:val="22"/>
        </w:rPr>
        <w:t xml:space="preserve">examine </w:t>
      </w:r>
      <w:r w:rsidR="000E3000">
        <w:rPr>
          <w:sz w:val="22"/>
          <w:szCs w:val="22"/>
        </w:rPr>
        <w:t xml:space="preserve">how </w:t>
      </w:r>
      <w:r w:rsidR="00A23141">
        <w:rPr>
          <w:sz w:val="22"/>
          <w:szCs w:val="22"/>
        </w:rPr>
        <w:t xml:space="preserve">sex work is distinct from human trafficking, and how </w:t>
      </w:r>
      <w:r w:rsidR="007007ED">
        <w:rPr>
          <w:sz w:val="22"/>
          <w:szCs w:val="22"/>
        </w:rPr>
        <w:t xml:space="preserve">efforts to cease human trafficking </w:t>
      </w:r>
      <w:r w:rsidR="000E3000">
        <w:rPr>
          <w:sz w:val="22"/>
          <w:szCs w:val="22"/>
        </w:rPr>
        <w:t xml:space="preserve">sometimes </w:t>
      </w:r>
      <w:r w:rsidR="007007ED">
        <w:rPr>
          <w:sz w:val="22"/>
          <w:szCs w:val="22"/>
        </w:rPr>
        <w:t xml:space="preserve">negatively impact on </w:t>
      </w:r>
      <w:r w:rsidR="005D48D3">
        <w:rPr>
          <w:sz w:val="22"/>
          <w:szCs w:val="22"/>
        </w:rPr>
        <w:t xml:space="preserve">the </w:t>
      </w:r>
      <w:r w:rsidR="007007ED">
        <w:rPr>
          <w:sz w:val="22"/>
          <w:szCs w:val="22"/>
        </w:rPr>
        <w:t>sex worker</w:t>
      </w:r>
      <w:r w:rsidR="005D48D3">
        <w:rPr>
          <w:sz w:val="22"/>
          <w:szCs w:val="22"/>
        </w:rPr>
        <w:t xml:space="preserve"> community</w:t>
      </w:r>
      <w:r w:rsidR="007007ED">
        <w:rPr>
          <w:sz w:val="22"/>
          <w:szCs w:val="22"/>
        </w:rPr>
        <w:t xml:space="preserve">. </w:t>
      </w:r>
    </w:p>
    <w:p w14:paraId="458C724A" w14:textId="77777777" w:rsidR="00C52D3D" w:rsidRDefault="00C52D3D" w:rsidP="00467119">
      <w:pPr>
        <w:pStyle w:val="Default"/>
        <w:jc w:val="both"/>
        <w:rPr>
          <w:b/>
          <w:sz w:val="22"/>
          <w:szCs w:val="22"/>
        </w:rPr>
      </w:pPr>
    </w:p>
    <w:p w14:paraId="1475FBD6" w14:textId="092758F5" w:rsidR="00F313D4" w:rsidRPr="005D48D3" w:rsidRDefault="00772358" w:rsidP="00467119">
      <w:pPr>
        <w:pStyle w:val="Default"/>
        <w:jc w:val="both"/>
        <w:rPr>
          <w:b/>
          <w:sz w:val="22"/>
          <w:szCs w:val="22"/>
        </w:rPr>
      </w:pPr>
      <w:r w:rsidRPr="005D48D3">
        <w:rPr>
          <w:b/>
          <w:sz w:val="22"/>
          <w:szCs w:val="22"/>
        </w:rPr>
        <w:t>Background</w:t>
      </w:r>
    </w:p>
    <w:p w14:paraId="0D4B071A" w14:textId="4F0C6C56" w:rsidR="00EC5EA4" w:rsidRDefault="00F313D4" w:rsidP="00467119">
      <w:pPr>
        <w:pStyle w:val="Default"/>
        <w:jc w:val="both"/>
        <w:rPr>
          <w:sz w:val="22"/>
          <w:szCs w:val="22"/>
        </w:rPr>
      </w:pPr>
      <w:r>
        <w:rPr>
          <w:sz w:val="22"/>
          <w:szCs w:val="22"/>
        </w:rPr>
        <w:t>Sex work is the voluntary exchange of sexual services for money, goods or other services between adults (18+</w:t>
      </w:r>
      <w:r w:rsidR="00EC5EA4">
        <w:rPr>
          <w:sz w:val="22"/>
          <w:szCs w:val="22"/>
        </w:rPr>
        <w:t xml:space="preserve"> years</w:t>
      </w:r>
      <w:r>
        <w:rPr>
          <w:sz w:val="22"/>
          <w:szCs w:val="22"/>
        </w:rPr>
        <w:t>).</w:t>
      </w:r>
      <w:r w:rsidR="000F76F3">
        <w:rPr>
          <w:rStyle w:val="FootnoteReference"/>
          <w:sz w:val="22"/>
          <w:szCs w:val="22"/>
        </w:rPr>
        <w:footnoteReference w:id="2"/>
      </w:r>
      <w:r>
        <w:rPr>
          <w:sz w:val="22"/>
          <w:szCs w:val="22"/>
        </w:rPr>
        <w:t xml:space="preserve"> </w:t>
      </w:r>
      <w:r w:rsidR="00EC5EA4">
        <w:rPr>
          <w:sz w:val="22"/>
          <w:szCs w:val="22"/>
        </w:rPr>
        <w:t xml:space="preserve">Various </w:t>
      </w:r>
      <w:r>
        <w:rPr>
          <w:sz w:val="22"/>
          <w:szCs w:val="22"/>
        </w:rPr>
        <w:t>aspect</w:t>
      </w:r>
      <w:r w:rsidR="00EC5EA4">
        <w:rPr>
          <w:sz w:val="22"/>
          <w:szCs w:val="22"/>
        </w:rPr>
        <w:t>s</w:t>
      </w:r>
      <w:r>
        <w:rPr>
          <w:sz w:val="22"/>
          <w:szCs w:val="22"/>
        </w:rPr>
        <w:t xml:space="preserve"> of sex work remain criminalized in </w:t>
      </w:r>
      <w:r w:rsidR="00E11519">
        <w:rPr>
          <w:sz w:val="22"/>
          <w:szCs w:val="22"/>
        </w:rPr>
        <w:t>189</w:t>
      </w:r>
      <w:r>
        <w:rPr>
          <w:sz w:val="22"/>
          <w:szCs w:val="22"/>
        </w:rPr>
        <w:t xml:space="preserve"> countries</w:t>
      </w:r>
      <w:r w:rsidR="00043F61">
        <w:rPr>
          <w:sz w:val="22"/>
          <w:szCs w:val="22"/>
        </w:rPr>
        <w:t>, with</w:t>
      </w:r>
      <w:r w:rsidR="00E11519">
        <w:rPr>
          <w:sz w:val="22"/>
          <w:szCs w:val="22"/>
        </w:rPr>
        <w:t xml:space="preserve"> all aspects criminalized in 56 countries</w:t>
      </w:r>
      <w:r w:rsidR="00043F61">
        <w:rPr>
          <w:sz w:val="22"/>
          <w:szCs w:val="22"/>
        </w:rPr>
        <w:t>.</w:t>
      </w:r>
      <w:r w:rsidR="000F76F3">
        <w:rPr>
          <w:rStyle w:val="FootnoteReference"/>
          <w:sz w:val="22"/>
          <w:szCs w:val="22"/>
        </w:rPr>
        <w:footnoteReference w:id="3"/>
      </w:r>
      <w:r>
        <w:rPr>
          <w:sz w:val="22"/>
          <w:szCs w:val="22"/>
        </w:rPr>
        <w:t xml:space="preserve"> </w:t>
      </w:r>
      <w:r w:rsidR="00043F61">
        <w:rPr>
          <w:sz w:val="22"/>
          <w:szCs w:val="22"/>
        </w:rPr>
        <w:t>T</w:t>
      </w:r>
      <w:r>
        <w:rPr>
          <w:sz w:val="22"/>
          <w:szCs w:val="22"/>
        </w:rPr>
        <w:t>his criminalization exacerbat</w:t>
      </w:r>
      <w:r w:rsidR="00043F61">
        <w:rPr>
          <w:sz w:val="22"/>
          <w:szCs w:val="22"/>
        </w:rPr>
        <w:t>es</w:t>
      </w:r>
      <w:r>
        <w:rPr>
          <w:sz w:val="22"/>
          <w:szCs w:val="22"/>
        </w:rPr>
        <w:t xml:space="preserve"> stigma</w:t>
      </w:r>
      <w:r w:rsidR="00E11519">
        <w:rPr>
          <w:sz w:val="22"/>
          <w:szCs w:val="22"/>
        </w:rPr>
        <w:t>,</w:t>
      </w:r>
      <w:r>
        <w:rPr>
          <w:sz w:val="22"/>
          <w:szCs w:val="22"/>
        </w:rPr>
        <w:t xml:space="preserve"> discrimination </w:t>
      </w:r>
      <w:r w:rsidR="00E11519">
        <w:rPr>
          <w:sz w:val="22"/>
          <w:szCs w:val="22"/>
        </w:rPr>
        <w:t xml:space="preserve">and violence </w:t>
      </w:r>
      <w:r>
        <w:rPr>
          <w:sz w:val="22"/>
          <w:szCs w:val="22"/>
        </w:rPr>
        <w:t>against sex workers</w:t>
      </w:r>
      <w:r w:rsidR="00EC5EA4">
        <w:rPr>
          <w:sz w:val="22"/>
          <w:szCs w:val="22"/>
        </w:rPr>
        <w:t>, their clients</w:t>
      </w:r>
      <w:r w:rsidR="005D48D3">
        <w:rPr>
          <w:sz w:val="22"/>
          <w:szCs w:val="22"/>
        </w:rPr>
        <w:t>,</w:t>
      </w:r>
      <w:r w:rsidR="00EC5EA4">
        <w:rPr>
          <w:sz w:val="22"/>
          <w:szCs w:val="22"/>
        </w:rPr>
        <w:t xml:space="preserve"> managers</w:t>
      </w:r>
      <w:r w:rsidR="005D48D3">
        <w:rPr>
          <w:sz w:val="22"/>
          <w:szCs w:val="22"/>
        </w:rPr>
        <w:t xml:space="preserve"> and family members</w:t>
      </w:r>
      <w:r>
        <w:rPr>
          <w:sz w:val="22"/>
          <w:szCs w:val="22"/>
        </w:rPr>
        <w:t xml:space="preserve">. Sex workers </w:t>
      </w:r>
      <w:r w:rsidR="000E3000">
        <w:rPr>
          <w:sz w:val="22"/>
          <w:szCs w:val="22"/>
        </w:rPr>
        <w:t xml:space="preserve">sometimes </w:t>
      </w:r>
      <w:r>
        <w:rPr>
          <w:sz w:val="22"/>
          <w:szCs w:val="22"/>
        </w:rPr>
        <w:t xml:space="preserve">experience harassment and extortion from law enforcement officers who may demand sexual favors or bribes </w:t>
      </w:r>
      <w:r w:rsidR="00EC5EA4">
        <w:rPr>
          <w:sz w:val="22"/>
          <w:szCs w:val="22"/>
        </w:rPr>
        <w:t>to avoid arrest and placing of charges. Possession of condoms by sex workers</w:t>
      </w:r>
      <w:r w:rsidR="00E11519">
        <w:rPr>
          <w:sz w:val="22"/>
          <w:szCs w:val="22"/>
        </w:rPr>
        <w:t>,</w:t>
      </w:r>
      <w:r w:rsidR="00EC5EA4">
        <w:rPr>
          <w:sz w:val="22"/>
          <w:szCs w:val="22"/>
        </w:rPr>
        <w:t xml:space="preserve"> is </w:t>
      </w:r>
      <w:r w:rsidR="00E11519">
        <w:rPr>
          <w:sz w:val="22"/>
          <w:szCs w:val="22"/>
        </w:rPr>
        <w:t xml:space="preserve">often </w:t>
      </w:r>
      <w:r w:rsidR="00EC5EA4">
        <w:rPr>
          <w:sz w:val="22"/>
          <w:szCs w:val="22"/>
        </w:rPr>
        <w:t xml:space="preserve">used </w:t>
      </w:r>
      <w:r w:rsidR="005D48D3">
        <w:rPr>
          <w:sz w:val="22"/>
          <w:szCs w:val="22"/>
        </w:rPr>
        <w:t>unjustly</w:t>
      </w:r>
      <w:r w:rsidR="00E11519">
        <w:rPr>
          <w:sz w:val="22"/>
          <w:szCs w:val="22"/>
        </w:rPr>
        <w:t xml:space="preserve"> by police</w:t>
      </w:r>
      <w:r w:rsidR="00CB2BC1">
        <w:rPr>
          <w:sz w:val="22"/>
          <w:szCs w:val="22"/>
        </w:rPr>
        <w:t>,</w:t>
      </w:r>
      <w:r w:rsidR="00EC5EA4">
        <w:rPr>
          <w:sz w:val="22"/>
          <w:szCs w:val="22"/>
        </w:rPr>
        <w:t xml:space="preserve"> as evidence of sex work.</w:t>
      </w:r>
      <w:r w:rsidR="000F76F3">
        <w:rPr>
          <w:rStyle w:val="FootnoteReference"/>
          <w:sz w:val="22"/>
          <w:szCs w:val="22"/>
        </w:rPr>
        <w:footnoteReference w:id="4"/>
      </w:r>
      <w:r w:rsidR="00EC5EA4">
        <w:rPr>
          <w:sz w:val="22"/>
          <w:szCs w:val="22"/>
        </w:rPr>
        <w:t xml:space="preserve"> The Global Commission of HIV and the Law has recommended decriminalization of all aspects of sex work to reduce the harm associated with criminalization, and to increase sex workers</w:t>
      </w:r>
      <w:r w:rsidR="005D48D3">
        <w:rPr>
          <w:sz w:val="22"/>
          <w:szCs w:val="22"/>
        </w:rPr>
        <w:t>’</w:t>
      </w:r>
      <w:r w:rsidR="00EC5EA4">
        <w:rPr>
          <w:sz w:val="22"/>
          <w:szCs w:val="22"/>
        </w:rPr>
        <w:t xml:space="preserve"> access to health and social services.</w:t>
      </w:r>
      <w:r w:rsidR="000F76F3">
        <w:rPr>
          <w:rStyle w:val="FootnoteReference"/>
          <w:sz w:val="22"/>
          <w:szCs w:val="22"/>
        </w:rPr>
        <w:footnoteReference w:id="5"/>
      </w:r>
      <w:r w:rsidR="00EC5EA4">
        <w:rPr>
          <w:sz w:val="22"/>
          <w:szCs w:val="22"/>
        </w:rPr>
        <w:t xml:space="preserve"> The widespread marginalization of sex workers leads to a </w:t>
      </w:r>
      <w:r w:rsidR="00E11519">
        <w:rPr>
          <w:sz w:val="22"/>
          <w:szCs w:val="22"/>
        </w:rPr>
        <w:t>thirteen</w:t>
      </w:r>
      <w:r w:rsidR="000E3000">
        <w:rPr>
          <w:sz w:val="22"/>
          <w:szCs w:val="22"/>
        </w:rPr>
        <w:t>-</w:t>
      </w:r>
      <w:r w:rsidR="00EC5EA4">
        <w:rPr>
          <w:sz w:val="22"/>
          <w:szCs w:val="22"/>
        </w:rPr>
        <w:t xml:space="preserve">fold </w:t>
      </w:r>
      <w:r w:rsidR="00043F61">
        <w:rPr>
          <w:sz w:val="22"/>
          <w:szCs w:val="22"/>
        </w:rPr>
        <w:t xml:space="preserve">higher </w:t>
      </w:r>
      <w:r w:rsidR="00EC5EA4">
        <w:rPr>
          <w:sz w:val="22"/>
          <w:szCs w:val="22"/>
        </w:rPr>
        <w:t>risk of HIV in sex workers,</w:t>
      </w:r>
      <w:r w:rsidR="005D48D3">
        <w:rPr>
          <w:sz w:val="22"/>
          <w:szCs w:val="22"/>
        </w:rPr>
        <w:t xml:space="preserve"> </w:t>
      </w:r>
      <w:r w:rsidR="00EC5EA4">
        <w:rPr>
          <w:sz w:val="22"/>
          <w:szCs w:val="22"/>
        </w:rPr>
        <w:t>compared to adults in the broader population.</w:t>
      </w:r>
      <w:r w:rsidR="006C5EF4">
        <w:rPr>
          <w:rStyle w:val="FootnoteReference"/>
          <w:sz w:val="22"/>
          <w:szCs w:val="22"/>
        </w:rPr>
        <w:footnoteReference w:id="6"/>
      </w:r>
      <w:r w:rsidR="00EC5EA4">
        <w:rPr>
          <w:sz w:val="22"/>
          <w:szCs w:val="22"/>
        </w:rPr>
        <w:t xml:space="preserve"> Modelling in the </w:t>
      </w:r>
      <w:r w:rsidR="00E11519">
        <w:rPr>
          <w:sz w:val="22"/>
          <w:szCs w:val="22"/>
        </w:rPr>
        <w:t xml:space="preserve">2015 </w:t>
      </w:r>
      <w:r w:rsidR="00EC5EA4">
        <w:rPr>
          <w:sz w:val="22"/>
          <w:szCs w:val="22"/>
        </w:rPr>
        <w:t xml:space="preserve">Lancet </w:t>
      </w:r>
      <w:r w:rsidR="00CB2BC1">
        <w:rPr>
          <w:sz w:val="22"/>
          <w:szCs w:val="22"/>
        </w:rPr>
        <w:t>s</w:t>
      </w:r>
      <w:r w:rsidR="00EC5EA4">
        <w:rPr>
          <w:sz w:val="22"/>
          <w:szCs w:val="22"/>
        </w:rPr>
        <w:t xml:space="preserve">pecial </w:t>
      </w:r>
      <w:r w:rsidR="00EC5EA4">
        <w:rPr>
          <w:sz w:val="22"/>
          <w:szCs w:val="22"/>
        </w:rPr>
        <w:lastRenderedPageBreak/>
        <w:t>issue on HIV and sex work</w:t>
      </w:r>
      <w:r w:rsidR="005D48D3">
        <w:rPr>
          <w:sz w:val="22"/>
          <w:szCs w:val="22"/>
        </w:rPr>
        <w:t>,</w:t>
      </w:r>
      <w:r w:rsidR="00EC5EA4">
        <w:rPr>
          <w:sz w:val="22"/>
          <w:szCs w:val="22"/>
        </w:rPr>
        <w:t xml:space="preserve"> estimated that decriminalization </w:t>
      </w:r>
      <w:r w:rsidR="005D48D3">
        <w:rPr>
          <w:sz w:val="22"/>
          <w:szCs w:val="22"/>
        </w:rPr>
        <w:t xml:space="preserve">of sex work </w:t>
      </w:r>
      <w:r w:rsidR="00EC5EA4">
        <w:rPr>
          <w:sz w:val="22"/>
          <w:szCs w:val="22"/>
        </w:rPr>
        <w:t xml:space="preserve">would result in a 33–46% reduction in new HIV cases, the single biggest factor </w:t>
      </w:r>
      <w:r w:rsidR="00E11519">
        <w:rPr>
          <w:sz w:val="22"/>
          <w:szCs w:val="22"/>
        </w:rPr>
        <w:t xml:space="preserve">for </w:t>
      </w:r>
      <w:r w:rsidR="00EC5EA4">
        <w:rPr>
          <w:sz w:val="22"/>
          <w:szCs w:val="22"/>
        </w:rPr>
        <w:t>reducing HIV transmission.</w:t>
      </w:r>
      <w:r w:rsidR="006C5EF4">
        <w:rPr>
          <w:rStyle w:val="FootnoteReference"/>
          <w:sz w:val="22"/>
          <w:szCs w:val="22"/>
        </w:rPr>
        <w:footnoteReference w:id="7"/>
      </w:r>
    </w:p>
    <w:p w14:paraId="7713E149" w14:textId="38095F12" w:rsidR="00EC5EA4" w:rsidRDefault="00F313D4" w:rsidP="00467119">
      <w:pPr>
        <w:pStyle w:val="Default"/>
        <w:jc w:val="both"/>
        <w:rPr>
          <w:sz w:val="22"/>
          <w:szCs w:val="22"/>
        </w:rPr>
      </w:pPr>
      <w:r>
        <w:rPr>
          <w:sz w:val="22"/>
          <w:szCs w:val="22"/>
        </w:rPr>
        <w:t xml:space="preserve">Sex workers also experience high rates of violence, increased risk of sexually transmitted infections, and poor sexual and reproductive health. Many sex workers are vulnerable to harm from tobacco, alcohol and other drug use, arising in the course of their work and as coping mechanisms </w:t>
      </w:r>
      <w:r w:rsidR="005D48D3">
        <w:rPr>
          <w:sz w:val="22"/>
          <w:szCs w:val="22"/>
        </w:rPr>
        <w:t xml:space="preserve">resulting from </w:t>
      </w:r>
      <w:r>
        <w:rPr>
          <w:sz w:val="22"/>
          <w:szCs w:val="22"/>
        </w:rPr>
        <w:t xml:space="preserve">widespread </w:t>
      </w:r>
      <w:r w:rsidR="005D48D3">
        <w:rPr>
          <w:sz w:val="22"/>
          <w:szCs w:val="22"/>
        </w:rPr>
        <w:t>stigma, discrimination</w:t>
      </w:r>
      <w:r w:rsidR="00043F61">
        <w:rPr>
          <w:sz w:val="22"/>
          <w:szCs w:val="22"/>
        </w:rPr>
        <w:t>,</w:t>
      </w:r>
      <w:r w:rsidR="005D48D3">
        <w:rPr>
          <w:sz w:val="22"/>
          <w:szCs w:val="22"/>
        </w:rPr>
        <w:t xml:space="preserve"> marginalization</w:t>
      </w:r>
      <w:r w:rsidR="00A23141">
        <w:rPr>
          <w:sz w:val="22"/>
          <w:szCs w:val="22"/>
        </w:rPr>
        <w:t>, violence a</w:t>
      </w:r>
      <w:r w:rsidR="00043F61">
        <w:rPr>
          <w:sz w:val="22"/>
          <w:szCs w:val="22"/>
        </w:rPr>
        <w:t>nd abuse</w:t>
      </w:r>
      <w:r>
        <w:rPr>
          <w:sz w:val="22"/>
          <w:szCs w:val="22"/>
        </w:rPr>
        <w:t>.</w:t>
      </w:r>
      <w:r w:rsidR="00EC5EA4">
        <w:rPr>
          <w:sz w:val="22"/>
          <w:szCs w:val="22"/>
        </w:rPr>
        <w:t xml:space="preserve"> </w:t>
      </w:r>
      <w:r w:rsidR="00E11519">
        <w:rPr>
          <w:sz w:val="22"/>
          <w:szCs w:val="22"/>
        </w:rPr>
        <w:t>Many transgender people engage in sex work owing to exclusion</w:t>
      </w:r>
      <w:r w:rsidR="00A23141">
        <w:rPr>
          <w:sz w:val="22"/>
          <w:szCs w:val="22"/>
        </w:rPr>
        <w:t xml:space="preserve"> – which </w:t>
      </w:r>
      <w:r w:rsidR="000E3000">
        <w:rPr>
          <w:sz w:val="22"/>
          <w:szCs w:val="22"/>
        </w:rPr>
        <w:t>lead</w:t>
      </w:r>
      <w:r w:rsidR="00A23141">
        <w:rPr>
          <w:sz w:val="22"/>
          <w:szCs w:val="22"/>
        </w:rPr>
        <w:t>s</w:t>
      </w:r>
      <w:r w:rsidR="000E3000">
        <w:rPr>
          <w:sz w:val="22"/>
          <w:szCs w:val="22"/>
        </w:rPr>
        <w:t xml:space="preserve"> to </w:t>
      </w:r>
      <w:r w:rsidR="00E11519">
        <w:rPr>
          <w:sz w:val="22"/>
          <w:szCs w:val="22"/>
        </w:rPr>
        <w:t>limited employment opportunities</w:t>
      </w:r>
      <w:r w:rsidR="00A23141">
        <w:rPr>
          <w:sz w:val="22"/>
          <w:szCs w:val="22"/>
        </w:rPr>
        <w:t xml:space="preserve"> –</w:t>
      </w:r>
      <w:r w:rsidR="00E11519">
        <w:rPr>
          <w:sz w:val="22"/>
          <w:szCs w:val="22"/>
        </w:rPr>
        <w:t xml:space="preserve"> </w:t>
      </w:r>
      <w:r w:rsidR="00CB2BC1">
        <w:rPr>
          <w:sz w:val="22"/>
          <w:szCs w:val="22"/>
        </w:rPr>
        <w:t xml:space="preserve">this </w:t>
      </w:r>
      <w:r w:rsidR="000E3000">
        <w:rPr>
          <w:sz w:val="22"/>
          <w:szCs w:val="22"/>
        </w:rPr>
        <w:t>caus</w:t>
      </w:r>
      <w:r w:rsidR="00CB2BC1">
        <w:rPr>
          <w:sz w:val="22"/>
          <w:szCs w:val="22"/>
        </w:rPr>
        <w:t>ing</w:t>
      </w:r>
      <w:r w:rsidR="000E3000">
        <w:rPr>
          <w:sz w:val="22"/>
          <w:szCs w:val="22"/>
        </w:rPr>
        <w:t xml:space="preserve"> </w:t>
      </w:r>
      <w:r w:rsidR="00E11519">
        <w:rPr>
          <w:sz w:val="22"/>
          <w:szCs w:val="22"/>
        </w:rPr>
        <w:t xml:space="preserve">double stigmatization of transgender sex workers. </w:t>
      </w:r>
      <w:r w:rsidR="005D48D3">
        <w:rPr>
          <w:sz w:val="22"/>
          <w:szCs w:val="22"/>
        </w:rPr>
        <w:t>C</w:t>
      </w:r>
      <w:r w:rsidR="00EC5EA4">
        <w:rPr>
          <w:sz w:val="22"/>
          <w:szCs w:val="22"/>
        </w:rPr>
        <w:t xml:space="preserve">onflation of </w:t>
      </w:r>
      <w:r w:rsidR="00CB2BC1">
        <w:rPr>
          <w:sz w:val="22"/>
          <w:szCs w:val="22"/>
        </w:rPr>
        <w:t xml:space="preserve">sex work with </w:t>
      </w:r>
      <w:r w:rsidR="005D48D3">
        <w:rPr>
          <w:sz w:val="22"/>
          <w:szCs w:val="22"/>
        </w:rPr>
        <w:t xml:space="preserve">trafficking in people </w:t>
      </w:r>
      <w:r w:rsidR="00EC5EA4">
        <w:rPr>
          <w:sz w:val="22"/>
          <w:szCs w:val="22"/>
        </w:rPr>
        <w:t>add</w:t>
      </w:r>
      <w:r w:rsidR="005D48D3">
        <w:rPr>
          <w:sz w:val="22"/>
          <w:szCs w:val="22"/>
        </w:rPr>
        <w:t>s</w:t>
      </w:r>
      <w:r w:rsidR="00EC5EA4">
        <w:rPr>
          <w:sz w:val="22"/>
          <w:szCs w:val="22"/>
        </w:rPr>
        <w:t xml:space="preserve"> to </w:t>
      </w:r>
      <w:r w:rsidR="000E3000">
        <w:rPr>
          <w:sz w:val="22"/>
          <w:szCs w:val="22"/>
        </w:rPr>
        <w:t xml:space="preserve">further </w:t>
      </w:r>
      <w:r w:rsidR="00EC5EA4">
        <w:rPr>
          <w:sz w:val="22"/>
          <w:szCs w:val="22"/>
        </w:rPr>
        <w:t>abuse and detention of sex workers</w:t>
      </w:r>
      <w:r w:rsidR="005D48D3">
        <w:rPr>
          <w:sz w:val="22"/>
          <w:szCs w:val="22"/>
        </w:rPr>
        <w:t>.</w:t>
      </w:r>
      <w:r w:rsidR="006C5EF4">
        <w:rPr>
          <w:rStyle w:val="FootnoteReference"/>
          <w:sz w:val="22"/>
          <w:szCs w:val="22"/>
        </w:rPr>
        <w:footnoteReference w:id="8"/>
      </w:r>
      <w:r w:rsidR="005D48D3">
        <w:rPr>
          <w:sz w:val="22"/>
          <w:szCs w:val="22"/>
        </w:rPr>
        <w:t xml:space="preserve"> </w:t>
      </w:r>
      <w:r w:rsidR="00772358">
        <w:rPr>
          <w:sz w:val="22"/>
          <w:szCs w:val="22"/>
        </w:rPr>
        <w:t>In conflict areas</w:t>
      </w:r>
      <w:r w:rsidR="00EC5EA4">
        <w:rPr>
          <w:sz w:val="22"/>
          <w:szCs w:val="22"/>
        </w:rPr>
        <w:t xml:space="preserve"> and other humanitarian situations</w:t>
      </w:r>
      <w:r w:rsidR="00772358">
        <w:rPr>
          <w:sz w:val="22"/>
          <w:szCs w:val="22"/>
        </w:rPr>
        <w:t xml:space="preserve">, </w:t>
      </w:r>
      <w:r w:rsidR="00EC5EA4">
        <w:rPr>
          <w:sz w:val="22"/>
          <w:szCs w:val="22"/>
        </w:rPr>
        <w:t>many people start to sell sex</w:t>
      </w:r>
      <w:r w:rsidR="00652F21">
        <w:rPr>
          <w:sz w:val="22"/>
          <w:szCs w:val="22"/>
        </w:rPr>
        <w:t xml:space="preserve">, owing to </w:t>
      </w:r>
      <w:r w:rsidR="00C52D3D">
        <w:rPr>
          <w:sz w:val="22"/>
          <w:szCs w:val="22"/>
        </w:rPr>
        <w:t xml:space="preserve">displacement and loss </w:t>
      </w:r>
      <w:r w:rsidR="00652F21">
        <w:rPr>
          <w:sz w:val="22"/>
          <w:szCs w:val="22"/>
        </w:rPr>
        <w:t xml:space="preserve">of </w:t>
      </w:r>
      <w:r w:rsidR="005D48D3">
        <w:rPr>
          <w:sz w:val="22"/>
          <w:szCs w:val="22"/>
        </w:rPr>
        <w:t xml:space="preserve">other </w:t>
      </w:r>
      <w:r w:rsidR="00652F21">
        <w:rPr>
          <w:sz w:val="22"/>
          <w:szCs w:val="22"/>
        </w:rPr>
        <w:t xml:space="preserve">livelihood options. </w:t>
      </w:r>
      <w:r w:rsidR="000A4EA3">
        <w:rPr>
          <w:sz w:val="22"/>
          <w:szCs w:val="22"/>
        </w:rPr>
        <w:t xml:space="preserve">Under these circumstances, </w:t>
      </w:r>
      <w:r w:rsidR="00CB2BC1">
        <w:rPr>
          <w:sz w:val="22"/>
          <w:szCs w:val="22"/>
        </w:rPr>
        <w:t xml:space="preserve">limited </w:t>
      </w:r>
      <w:r w:rsidR="00652F21">
        <w:rPr>
          <w:sz w:val="22"/>
          <w:szCs w:val="22"/>
        </w:rPr>
        <w:t xml:space="preserve">knowledge, </w:t>
      </w:r>
      <w:r w:rsidR="005D48D3">
        <w:rPr>
          <w:sz w:val="22"/>
          <w:szCs w:val="22"/>
        </w:rPr>
        <w:t xml:space="preserve">access to condoms and </w:t>
      </w:r>
      <w:r w:rsidR="00652F21">
        <w:rPr>
          <w:sz w:val="22"/>
          <w:szCs w:val="22"/>
        </w:rPr>
        <w:t xml:space="preserve">condom negotiation skills </w:t>
      </w:r>
      <w:r w:rsidR="005D48D3">
        <w:rPr>
          <w:sz w:val="22"/>
          <w:szCs w:val="22"/>
        </w:rPr>
        <w:t xml:space="preserve">significantly </w:t>
      </w:r>
      <w:r w:rsidR="00652F21">
        <w:rPr>
          <w:sz w:val="22"/>
          <w:szCs w:val="22"/>
        </w:rPr>
        <w:t xml:space="preserve">increase the risk of HIV/STIs, violence and unintended </w:t>
      </w:r>
      <w:r w:rsidR="000A4EA3">
        <w:rPr>
          <w:sz w:val="22"/>
          <w:szCs w:val="22"/>
        </w:rPr>
        <w:t xml:space="preserve">pregnancy in </w:t>
      </w:r>
      <w:r w:rsidR="00C52D3D">
        <w:rPr>
          <w:sz w:val="22"/>
          <w:szCs w:val="22"/>
        </w:rPr>
        <w:t xml:space="preserve">people </w:t>
      </w:r>
      <w:r w:rsidR="000A4EA3">
        <w:rPr>
          <w:sz w:val="22"/>
          <w:szCs w:val="22"/>
        </w:rPr>
        <w:t>initiat</w:t>
      </w:r>
      <w:r w:rsidR="00C52D3D">
        <w:rPr>
          <w:sz w:val="22"/>
          <w:szCs w:val="22"/>
        </w:rPr>
        <w:t>ing</w:t>
      </w:r>
      <w:r w:rsidR="000A4EA3">
        <w:rPr>
          <w:sz w:val="22"/>
          <w:szCs w:val="22"/>
        </w:rPr>
        <w:t xml:space="preserve"> sex work</w:t>
      </w:r>
      <w:r w:rsidR="00652F21">
        <w:rPr>
          <w:sz w:val="22"/>
          <w:szCs w:val="22"/>
        </w:rPr>
        <w:t>.</w:t>
      </w:r>
    </w:p>
    <w:p w14:paraId="6F01B4F9" w14:textId="77777777" w:rsidR="00C52D3D" w:rsidRDefault="00C52D3D" w:rsidP="00467119">
      <w:pPr>
        <w:pStyle w:val="Default"/>
        <w:jc w:val="both"/>
        <w:rPr>
          <w:b/>
          <w:color w:val="auto"/>
          <w:sz w:val="22"/>
          <w:szCs w:val="22"/>
        </w:rPr>
      </w:pPr>
    </w:p>
    <w:p w14:paraId="0C1C3968" w14:textId="185E7080" w:rsidR="00772358" w:rsidRPr="005D48D3" w:rsidRDefault="00772358" w:rsidP="00467119">
      <w:pPr>
        <w:pStyle w:val="Default"/>
        <w:jc w:val="both"/>
        <w:rPr>
          <w:b/>
          <w:color w:val="auto"/>
          <w:sz w:val="22"/>
          <w:szCs w:val="22"/>
        </w:rPr>
      </w:pPr>
      <w:r w:rsidRPr="005D48D3">
        <w:rPr>
          <w:b/>
          <w:color w:val="auto"/>
          <w:sz w:val="22"/>
          <w:szCs w:val="22"/>
        </w:rPr>
        <w:t xml:space="preserve">Focus and objective of the </w:t>
      </w:r>
      <w:r w:rsidR="005D48D3">
        <w:rPr>
          <w:b/>
          <w:color w:val="auto"/>
          <w:sz w:val="22"/>
          <w:szCs w:val="22"/>
        </w:rPr>
        <w:t>side</w:t>
      </w:r>
      <w:r w:rsidR="005E0F61">
        <w:rPr>
          <w:b/>
          <w:color w:val="auto"/>
          <w:sz w:val="22"/>
          <w:szCs w:val="22"/>
        </w:rPr>
        <w:t>-</w:t>
      </w:r>
      <w:r w:rsidR="005D48D3">
        <w:rPr>
          <w:b/>
          <w:color w:val="auto"/>
          <w:sz w:val="22"/>
          <w:szCs w:val="22"/>
        </w:rPr>
        <w:t>event</w:t>
      </w:r>
    </w:p>
    <w:p w14:paraId="31D30946" w14:textId="466BC818" w:rsidR="0002457E" w:rsidRDefault="0002457E" w:rsidP="00467119">
      <w:pPr>
        <w:pStyle w:val="Default"/>
        <w:jc w:val="both"/>
        <w:rPr>
          <w:color w:val="auto"/>
          <w:sz w:val="22"/>
          <w:szCs w:val="22"/>
        </w:rPr>
      </w:pPr>
      <w:r>
        <w:rPr>
          <w:color w:val="auto"/>
          <w:sz w:val="22"/>
          <w:szCs w:val="22"/>
        </w:rPr>
        <w:t xml:space="preserve">This side event will consist of a series of oral presentations by the </w:t>
      </w:r>
      <w:r w:rsidR="00C52D3D">
        <w:rPr>
          <w:color w:val="auto"/>
          <w:sz w:val="22"/>
          <w:szCs w:val="22"/>
        </w:rPr>
        <w:t xml:space="preserve">NSWP </w:t>
      </w:r>
      <w:r>
        <w:rPr>
          <w:color w:val="auto"/>
          <w:sz w:val="22"/>
          <w:szCs w:val="22"/>
        </w:rPr>
        <w:t>delegation to CSW, followed by open discussion. Topics to be presented include:</w:t>
      </w:r>
    </w:p>
    <w:p w14:paraId="081788A4" w14:textId="77777777" w:rsidR="00FE63F7" w:rsidRDefault="0002457E" w:rsidP="00467119">
      <w:pPr>
        <w:pStyle w:val="Default"/>
        <w:numPr>
          <w:ilvl w:val="0"/>
          <w:numId w:val="2"/>
        </w:numPr>
        <w:jc w:val="both"/>
        <w:rPr>
          <w:color w:val="auto"/>
          <w:sz w:val="22"/>
          <w:szCs w:val="22"/>
        </w:rPr>
      </w:pPr>
      <w:r>
        <w:rPr>
          <w:color w:val="auto"/>
          <w:sz w:val="22"/>
          <w:szCs w:val="22"/>
        </w:rPr>
        <w:t>Definition of sex work</w:t>
      </w:r>
    </w:p>
    <w:p w14:paraId="09E1B6A0" w14:textId="2FE824C0" w:rsidR="0002457E" w:rsidRDefault="00FE63F7" w:rsidP="00467119">
      <w:pPr>
        <w:pStyle w:val="Default"/>
        <w:numPr>
          <w:ilvl w:val="0"/>
          <w:numId w:val="2"/>
        </w:numPr>
        <w:jc w:val="both"/>
        <w:rPr>
          <w:color w:val="auto"/>
          <w:sz w:val="22"/>
          <w:szCs w:val="22"/>
        </w:rPr>
      </w:pPr>
      <w:r>
        <w:rPr>
          <w:color w:val="auto"/>
          <w:sz w:val="22"/>
          <w:szCs w:val="22"/>
        </w:rPr>
        <w:t>S</w:t>
      </w:r>
      <w:r w:rsidR="0002457E">
        <w:rPr>
          <w:color w:val="auto"/>
          <w:sz w:val="22"/>
          <w:szCs w:val="22"/>
        </w:rPr>
        <w:t>ocio-cultural and legal challenges faced by sex workers</w:t>
      </w:r>
      <w:r>
        <w:rPr>
          <w:color w:val="auto"/>
          <w:sz w:val="22"/>
          <w:szCs w:val="22"/>
        </w:rPr>
        <w:t xml:space="preserve"> – </w:t>
      </w:r>
      <w:r w:rsidR="000A4EA3">
        <w:rPr>
          <w:color w:val="auto"/>
          <w:sz w:val="22"/>
          <w:szCs w:val="22"/>
        </w:rPr>
        <w:t xml:space="preserve">including </w:t>
      </w:r>
      <w:r>
        <w:rPr>
          <w:color w:val="auto"/>
          <w:sz w:val="22"/>
          <w:szCs w:val="22"/>
        </w:rPr>
        <w:t>shrinking space for civil society</w:t>
      </w:r>
    </w:p>
    <w:p w14:paraId="3327D0B2" w14:textId="47BF8097" w:rsidR="0002457E" w:rsidRDefault="0002457E" w:rsidP="00467119">
      <w:pPr>
        <w:pStyle w:val="Default"/>
        <w:numPr>
          <w:ilvl w:val="0"/>
          <w:numId w:val="2"/>
        </w:numPr>
        <w:jc w:val="both"/>
        <w:rPr>
          <w:color w:val="auto"/>
          <w:sz w:val="22"/>
          <w:szCs w:val="22"/>
        </w:rPr>
      </w:pPr>
      <w:r>
        <w:rPr>
          <w:color w:val="auto"/>
          <w:sz w:val="22"/>
          <w:szCs w:val="22"/>
        </w:rPr>
        <w:t>Sex work, gender equality</w:t>
      </w:r>
      <w:r w:rsidR="000A4EA3">
        <w:rPr>
          <w:color w:val="auto"/>
          <w:sz w:val="22"/>
          <w:szCs w:val="22"/>
        </w:rPr>
        <w:t>,</w:t>
      </w:r>
      <w:r>
        <w:rPr>
          <w:color w:val="auto"/>
          <w:sz w:val="22"/>
          <w:szCs w:val="22"/>
        </w:rPr>
        <w:t xml:space="preserve"> agency</w:t>
      </w:r>
      <w:r w:rsidR="000A4EA3">
        <w:rPr>
          <w:color w:val="auto"/>
          <w:sz w:val="22"/>
          <w:szCs w:val="22"/>
        </w:rPr>
        <w:t xml:space="preserve"> and personal choice issues</w:t>
      </w:r>
    </w:p>
    <w:p w14:paraId="197E1BD3" w14:textId="77777777" w:rsidR="0002457E" w:rsidRDefault="0002457E" w:rsidP="00467119">
      <w:pPr>
        <w:pStyle w:val="Default"/>
        <w:numPr>
          <w:ilvl w:val="0"/>
          <w:numId w:val="2"/>
        </w:numPr>
        <w:jc w:val="both"/>
        <w:rPr>
          <w:color w:val="auto"/>
          <w:sz w:val="22"/>
          <w:szCs w:val="22"/>
        </w:rPr>
      </w:pPr>
      <w:r>
        <w:rPr>
          <w:color w:val="auto"/>
          <w:sz w:val="22"/>
          <w:szCs w:val="22"/>
        </w:rPr>
        <w:t>Sex work as decent work</w:t>
      </w:r>
    </w:p>
    <w:p w14:paraId="15FE3B5B" w14:textId="2738F547" w:rsidR="0002457E" w:rsidRDefault="0002457E" w:rsidP="00467119">
      <w:pPr>
        <w:pStyle w:val="Default"/>
        <w:numPr>
          <w:ilvl w:val="0"/>
          <w:numId w:val="2"/>
        </w:numPr>
        <w:jc w:val="both"/>
        <w:rPr>
          <w:color w:val="auto"/>
          <w:sz w:val="22"/>
          <w:szCs w:val="22"/>
        </w:rPr>
      </w:pPr>
      <w:r>
        <w:rPr>
          <w:color w:val="auto"/>
          <w:sz w:val="22"/>
          <w:szCs w:val="22"/>
        </w:rPr>
        <w:t>Differentiating sex work from trafficking in people, and the impact</w:t>
      </w:r>
      <w:r w:rsidR="000A4EA3">
        <w:rPr>
          <w:color w:val="auto"/>
          <w:sz w:val="22"/>
          <w:szCs w:val="22"/>
        </w:rPr>
        <w:t xml:space="preserve"> of anti-trafficking programmes</w:t>
      </w:r>
    </w:p>
    <w:p w14:paraId="5537D365" w14:textId="0A0E6610" w:rsidR="00FE63F7" w:rsidRDefault="00FE63F7" w:rsidP="00467119">
      <w:pPr>
        <w:pStyle w:val="Default"/>
        <w:numPr>
          <w:ilvl w:val="0"/>
          <w:numId w:val="2"/>
        </w:numPr>
        <w:jc w:val="both"/>
        <w:rPr>
          <w:color w:val="auto"/>
          <w:sz w:val="22"/>
          <w:szCs w:val="22"/>
        </w:rPr>
      </w:pPr>
      <w:r>
        <w:rPr>
          <w:color w:val="auto"/>
          <w:sz w:val="22"/>
          <w:szCs w:val="22"/>
        </w:rPr>
        <w:t>UN and development partner responses to sex work – community empowerment</w:t>
      </w:r>
      <w:r w:rsidR="000A4EA3">
        <w:rPr>
          <w:color w:val="auto"/>
          <w:sz w:val="22"/>
          <w:szCs w:val="22"/>
        </w:rPr>
        <w:t>-</w:t>
      </w:r>
      <w:r>
        <w:rPr>
          <w:color w:val="auto"/>
          <w:sz w:val="22"/>
          <w:szCs w:val="22"/>
        </w:rPr>
        <w:t>based programming</w:t>
      </w:r>
      <w:r w:rsidR="00CB2BC1">
        <w:rPr>
          <w:color w:val="auto"/>
          <w:sz w:val="22"/>
          <w:szCs w:val="22"/>
        </w:rPr>
        <w:t>,</w:t>
      </w:r>
      <w:r>
        <w:rPr>
          <w:color w:val="auto"/>
          <w:sz w:val="22"/>
          <w:szCs w:val="22"/>
        </w:rPr>
        <w:t xml:space="preserve"> addressing discrimination in</w:t>
      </w:r>
      <w:r w:rsidR="00CB2BC1">
        <w:rPr>
          <w:color w:val="auto"/>
          <w:sz w:val="22"/>
          <w:szCs w:val="22"/>
        </w:rPr>
        <w:t xml:space="preserve"> health care and other settings, and efforts to create more supportive legal and policy environments.</w:t>
      </w:r>
    </w:p>
    <w:p w14:paraId="59B5B284" w14:textId="656E3599" w:rsidR="0002457E" w:rsidRDefault="0002457E" w:rsidP="00467119">
      <w:pPr>
        <w:pStyle w:val="Default"/>
        <w:numPr>
          <w:ilvl w:val="0"/>
          <w:numId w:val="2"/>
        </w:numPr>
        <w:jc w:val="both"/>
        <w:rPr>
          <w:color w:val="auto"/>
          <w:sz w:val="22"/>
          <w:szCs w:val="22"/>
        </w:rPr>
      </w:pPr>
      <w:r>
        <w:rPr>
          <w:color w:val="auto"/>
          <w:sz w:val="22"/>
          <w:szCs w:val="22"/>
        </w:rPr>
        <w:t>Responding to the health and protection needs of young people who sell sex</w:t>
      </w:r>
      <w:r w:rsidR="00CB2BC1">
        <w:rPr>
          <w:color w:val="auto"/>
          <w:sz w:val="22"/>
          <w:szCs w:val="22"/>
        </w:rPr>
        <w:t>.</w:t>
      </w:r>
    </w:p>
    <w:p w14:paraId="2A8E5037" w14:textId="1D75F10C" w:rsidR="00772358" w:rsidRDefault="0002457E" w:rsidP="00467119">
      <w:pPr>
        <w:pStyle w:val="Default"/>
        <w:jc w:val="both"/>
        <w:rPr>
          <w:color w:val="auto"/>
          <w:sz w:val="22"/>
          <w:szCs w:val="22"/>
        </w:rPr>
      </w:pPr>
      <w:r>
        <w:rPr>
          <w:color w:val="auto"/>
          <w:sz w:val="22"/>
          <w:szCs w:val="22"/>
        </w:rPr>
        <w:t xml:space="preserve">The </w:t>
      </w:r>
      <w:r w:rsidR="00FE63F7">
        <w:rPr>
          <w:color w:val="auto"/>
          <w:sz w:val="22"/>
          <w:szCs w:val="22"/>
        </w:rPr>
        <w:t xml:space="preserve">side event aims to raise awareness and understanding of the challenges faced by sex workers, and explore how these may be better addressed. </w:t>
      </w:r>
      <w:r w:rsidR="00772358">
        <w:rPr>
          <w:color w:val="auto"/>
          <w:sz w:val="22"/>
          <w:szCs w:val="22"/>
        </w:rPr>
        <w:t>Good practices and lessons-learned will be highlighted.</w:t>
      </w:r>
      <w:r w:rsidR="00FE63F7">
        <w:rPr>
          <w:color w:val="auto"/>
          <w:sz w:val="22"/>
          <w:szCs w:val="22"/>
        </w:rPr>
        <w:t xml:space="preserve"> The </w:t>
      </w:r>
      <w:r w:rsidR="00FE63F7" w:rsidRPr="00FE63F7">
        <w:rPr>
          <w:color w:val="auto"/>
          <w:sz w:val="22"/>
          <w:szCs w:val="22"/>
        </w:rPr>
        <w:t>e</w:t>
      </w:r>
      <w:r w:rsidR="00772358" w:rsidRPr="00FE63F7">
        <w:rPr>
          <w:color w:val="auto"/>
          <w:sz w:val="22"/>
          <w:szCs w:val="22"/>
        </w:rPr>
        <w:t xml:space="preserve">xpected outcome </w:t>
      </w:r>
      <w:r w:rsidR="00FE63F7" w:rsidRPr="00FE63F7">
        <w:rPr>
          <w:color w:val="auto"/>
          <w:sz w:val="22"/>
          <w:szCs w:val="22"/>
        </w:rPr>
        <w:t xml:space="preserve">of the side event </w:t>
      </w:r>
      <w:r w:rsidR="00FE63F7">
        <w:rPr>
          <w:color w:val="auto"/>
          <w:sz w:val="22"/>
          <w:szCs w:val="22"/>
        </w:rPr>
        <w:t>is to increase understanding of UNFPA and other UN staff on the importance of continuing and strengthening support for the sex worker community as they strive for realization of their human rights. A recording of the session will be made available to UNFPA field staff, to further raise awareness.</w:t>
      </w:r>
      <w:r w:rsidR="00772358">
        <w:rPr>
          <w:color w:val="auto"/>
          <w:sz w:val="22"/>
          <w:szCs w:val="22"/>
        </w:rPr>
        <w:t xml:space="preserve"> </w:t>
      </w:r>
    </w:p>
    <w:p w14:paraId="268DF6ED" w14:textId="77777777" w:rsidR="00C52D3D" w:rsidRDefault="00C52D3D" w:rsidP="00467119">
      <w:pPr>
        <w:pStyle w:val="Default"/>
        <w:jc w:val="both"/>
        <w:rPr>
          <w:b/>
          <w:color w:val="auto"/>
          <w:sz w:val="22"/>
          <w:szCs w:val="22"/>
        </w:rPr>
      </w:pPr>
    </w:p>
    <w:p w14:paraId="3B3255CF" w14:textId="2F889A23" w:rsidR="00772358" w:rsidRPr="00FE63F7" w:rsidRDefault="00772358" w:rsidP="00467119">
      <w:pPr>
        <w:pStyle w:val="Default"/>
        <w:jc w:val="both"/>
        <w:rPr>
          <w:b/>
          <w:color w:val="auto"/>
          <w:sz w:val="22"/>
          <w:szCs w:val="22"/>
        </w:rPr>
      </w:pPr>
      <w:r w:rsidRPr="00FE63F7">
        <w:rPr>
          <w:b/>
          <w:color w:val="auto"/>
          <w:sz w:val="22"/>
          <w:szCs w:val="22"/>
        </w:rPr>
        <w:t xml:space="preserve">Panelists </w:t>
      </w:r>
    </w:p>
    <w:p w14:paraId="1512CA88" w14:textId="44B53421" w:rsidR="00772358" w:rsidRDefault="00772358" w:rsidP="00467119">
      <w:pPr>
        <w:pStyle w:val="Default"/>
        <w:jc w:val="both"/>
        <w:rPr>
          <w:color w:val="auto"/>
          <w:sz w:val="22"/>
          <w:szCs w:val="22"/>
        </w:rPr>
      </w:pPr>
      <w:r>
        <w:rPr>
          <w:color w:val="auto"/>
          <w:sz w:val="22"/>
          <w:szCs w:val="22"/>
        </w:rPr>
        <w:t xml:space="preserve">Panelist will </w:t>
      </w:r>
      <w:r w:rsidR="001B7359">
        <w:rPr>
          <w:color w:val="auto"/>
          <w:sz w:val="22"/>
          <w:szCs w:val="22"/>
        </w:rPr>
        <w:t xml:space="preserve">be </w:t>
      </w:r>
      <w:r w:rsidR="00FE63F7">
        <w:rPr>
          <w:color w:val="auto"/>
          <w:sz w:val="22"/>
          <w:szCs w:val="22"/>
        </w:rPr>
        <w:t xml:space="preserve">representatives from the Global Network of Sex Work Projects (NSWP), and staff members of UNFPA and UNDP engaged in supporting </w:t>
      </w:r>
      <w:r w:rsidR="001B7359">
        <w:rPr>
          <w:color w:val="auto"/>
          <w:sz w:val="22"/>
          <w:szCs w:val="22"/>
        </w:rPr>
        <w:t xml:space="preserve">development </w:t>
      </w:r>
      <w:r w:rsidR="00FE63F7">
        <w:rPr>
          <w:color w:val="auto"/>
          <w:sz w:val="22"/>
          <w:szCs w:val="22"/>
        </w:rPr>
        <w:t>programmes with sex worker</w:t>
      </w:r>
      <w:r w:rsidR="001B7359">
        <w:rPr>
          <w:color w:val="auto"/>
          <w:sz w:val="22"/>
          <w:szCs w:val="22"/>
        </w:rPr>
        <w:t xml:space="preserve"> communities</w:t>
      </w:r>
      <w:r w:rsidR="00FE63F7">
        <w:rPr>
          <w:color w:val="auto"/>
          <w:sz w:val="22"/>
          <w:szCs w:val="22"/>
        </w:rPr>
        <w:t xml:space="preserve">. </w:t>
      </w:r>
      <w:r w:rsidR="005E0F61" w:rsidRPr="005E0F61">
        <w:rPr>
          <w:color w:val="auto"/>
          <w:sz w:val="22"/>
          <w:szCs w:val="22"/>
        </w:rPr>
        <w:t>NSWP is the global membership organization that upholds the voice of sex workers globally and connect</w:t>
      </w:r>
      <w:r w:rsidR="005E0F61">
        <w:rPr>
          <w:color w:val="auto"/>
          <w:sz w:val="22"/>
          <w:szCs w:val="22"/>
        </w:rPr>
        <w:t>s</w:t>
      </w:r>
      <w:r w:rsidR="005E0F61" w:rsidRPr="005E0F61">
        <w:rPr>
          <w:color w:val="auto"/>
          <w:sz w:val="22"/>
          <w:szCs w:val="22"/>
        </w:rPr>
        <w:t xml:space="preserve"> regional networks advocating for the rights of female, male, and transgender sex workers.</w:t>
      </w:r>
      <w:r w:rsidR="00AF70BF">
        <w:rPr>
          <w:color w:val="auto"/>
          <w:sz w:val="22"/>
          <w:szCs w:val="22"/>
        </w:rPr>
        <w:t xml:space="preserve"> The panel will include NSWP</w:t>
      </w:r>
      <w:r w:rsidR="000A4EA3">
        <w:rPr>
          <w:color w:val="auto"/>
          <w:sz w:val="22"/>
          <w:szCs w:val="22"/>
        </w:rPr>
        <w:t>’s</w:t>
      </w:r>
      <w:r w:rsidR="00AF70BF">
        <w:rPr>
          <w:color w:val="auto"/>
          <w:sz w:val="22"/>
          <w:szCs w:val="22"/>
        </w:rPr>
        <w:t xml:space="preserve"> Global Coordinator and represen</w:t>
      </w:r>
      <w:r w:rsidR="001B7359">
        <w:rPr>
          <w:color w:val="auto"/>
          <w:sz w:val="22"/>
          <w:szCs w:val="22"/>
        </w:rPr>
        <w:t>t</w:t>
      </w:r>
      <w:r w:rsidR="00AF70BF">
        <w:rPr>
          <w:color w:val="auto"/>
          <w:sz w:val="22"/>
          <w:szCs w:val="22"/>
        </w:rPr>
        <w:t xml:space="preserve">atives from </w:t>
      </w:r>
      <w:r w:rsidR="000A4EA3">
        <w:rPr>
          <w:color w:val="auto"/>
          <w:sz w:val="22"/>
          <w:szCs w:val="22"/>
        </w:rPr>
        <w:t xml:space="preserve">NSWP’s </w:t>
      </w:r>
      <w:r w:rsidR="00AF70BF">
        <w:rPr>
          <w:color w:val="auto"/>
          <w:sz w:val="22"/>
          <w:szCs w:val="22"/>
        </w:rPr>
        <w:t>regional a</w:t>
      </w:r>
      <w:r w:rsidR="006C5EF4">
        <w:rPr>
          <w:color w:val="auto"/>
          <w:sz w:val="22"/>
          <w:szCs w:val="22"/>
        </w:rPr>
        <w:t>nd national sex worker networks (Annex 1).</w:t>
      </w:r>
    </w:p>
    <w:p w14:paraId="0CF07F34" w14:textId="77777777" w:rsidR="00F313D4" w:rsidRDefault="00F313D4" w:rsidP="00467119">
      <w:pPr>
        <w:pStyle w:val="Default"/>
        <w:jc w:val="both"/>
        <w:rPr>
          <w:color w:val="auto"/>
          <w:sz w:val="22"/>
          <w:szCs w:val="22"/>
        </w:rPr>
      </w:pPr>
    </w:p>
    <w:p w14:paraId="014C9F6C" w14:textId="77777777" w:rsidR="00772358" w:rsidRDefault="00AF70BF" w:rsidP="00467119">
      <w:pPr>
        <w:pStyle w:val="Default"/>
        <w:jc w:val="both"/>
        <w:rPr>
          <w:color w:val="auto"/>
          <w:sz w:val="22"/>
          <w:szCs w:val="22"/>
        </w:rPr>
      </w:pPr>
      <w:r>
        <w:rPr>
          <w:b/>
          <w:bCs/>
          <w:color w:val="auto"/>
          <w:sz w:val="22"/>
          <w:szCs w:val="22"/>
        </w:rPr>
        <w:t>Date:</w:t>
      </w:r>
      <w:r w:rsidRPr="00AF70BF">
        <w:rPr>
          <w:bCs/>
          <w:color w:val="auto"/>
          <w:sz w:val="22"/>
          <w:szCs w:val="22"/>
        </w:rPr>
        <w:t xml:space="preserve"> </w:t>
      </w:r>
      <w:r>
        <w:rPr>
          <w:bCs/>
          <w:color w:val="auto"/>
          <w:sz w:val="22"/>
          <w:szCs w:val="22"/>
        </w:rPr>
        <w:t>1</w:t>
      </w:r>
      <w:r w:rsidR="00772358" w:rsidRPr="00AF70BF">
        <w:rPr>
          <w:color w:val="auto"/>
          <w:sz w:val="22"/>
          <w:szCs w:val="22"/>
        </w:rPr>
        <w:t>2</w:t>
      </w:r>
      <w:r w:rsidRPr="00AF70BF">
        <w:rPr>
          <w:color w:val="auto"/>
          <w:sz w:val="22"/>
          <w:szCs w:val="22"/>
          <w:vertAlign w:val="superscript"/>
        </w:rPr>
        <w:t>th</w:t>
      </w:r>
      <w:r>
        <w:rPr>
          <w:color w:val="auto"/>
          <w:sz w:val="22"/>
          <w:szCs w:val="22"/>
        </w:rPr>
        <w:t xml:space="preserve"> </w:t>
      </w:r>
      <w:r w:rsidR="00772358">
        <w:rPr>
          <w:color w:val="auto"/>
          <w:sz w:val="22"/>
          <w:szCs w:val="22"/>
        </w:rPr>
        <w:t xml:space="preserve">March </w:t>
      </w:r>
      <w:r>
        <w:rPr>
          <w:color w:val="auto"/>
          <w:sz w:val="22"/>
          <w:szCs w:val="22"/>
        </w:rPr>
        <w:t>2019</w:t>
      </w:r>
      <w:r w:rsidR="000E3000">
        <w:rPr>
          <w:color w:val="auto"/>
          <w:sz w:val="22"/>
          <w:szCs w:val="22"/>
        </w:rPr>
        <w:t xml:space="preserve"> at 1:15pm – 3:00pm</w:t>
      </w:r>
    </w:p>
    <w:p w14:paraId="738CA82E" w14:textId="77777777" w:rsidR="00772358" w:rsidRDefault="00772358" w:rsidP="00467119">
      <w:pPr>
        <w:pStyle w:val="Default"/>
        <w:jc w:val="both"/>
        <w:rPr>
          <w:color w:val="auto"/>
          <w:sz w:val="22"/>
          <w:szCs w:val="22"/>
        </w:rPr>
      </w:pPr>
      <w:r>
        <w:rPr>
          <w:b/>
          <w:bCs/>
          <w:color w:val="auto"/>
          <w:sz w:val="22"/>
          <w:szCs w:val="22"/>
        </w:rPr>
        <w:t xml:space="preserve">Location: </w:t>
      </w:r>
      <w:r>
        <w:rPr>
          <w:color w:val="auto"/>
          <w:sz w:val="22"/>
          <w:szCs w:val="22"/>
        </w:rPr>
        <w:t>U</w:t>
      </w:r>
      <w:r w:rsidR="00AF70BF">
        <w:rPr>
          <w:color w:val="auto"/>
          <w:sz w:val="22"/>
          <w:szCs w:val="22"/>
        </w:rPr>
        <w:t>NFPA HQ, 605 Third Avenue</w:t>
      </w:r>
      <w:r>
        <w:rPr>
          <w:color w:val="auto"/>
          <w:sz w:val="22"/>
          <w:szCs w:val="22"/>
        </w:rPr>
        <w:t xml:space="preserve">, </w:t>
      </w:r>
      <w:r w:rsidR="00AF70BF">
        <w:rPr>
          <w:color w:val="auto"/>
          <w:sz w:val="22"/>
          <w:szCs w:val="22"/>
        </w:rPr>
        <w:t xml:space="preserve">Orange Café </w:t>
      </w:r>
    </w:p>
    <w:p w14:paraId="761CE485" w14:textId="77777777" w:rsidR="00772358" w:rsidRDefault="00772358" w:rsidP="00467119">
      <w:pPr>
        <w:pStyle w:val="Default"/>
        <w:jc w:val="both"/>
        <w:rPr>
          <w:color w:val="auto"/>
          <w:sz w:val="22"/>
          <w:szCs w:val="22"/>
        </w:rPr>
      </w:pPr>
      <w:r>
        <w:rPr>
          <w:b/>
          <w:bCs/>
          <w:color w:val="auto"/>
          <w:sz w:val="22"/>
          <w:szCs w:val="22"/>
        </w:rPr>
        <w:t xml:space="preserve">Event: </w:t>
      </w:r>
      <w:r>
        <w:rPr>
          <w:color w:val="auto"/>
          <w:sz w:val="22"/>
          <w:szCs w:val="22"/>
        </w:rPr>
        <w:t xml:space="preserve">A </w:t>
      </w:r>
      <w:r w:rsidR="00AF70BF">
        <w:rPr>
          <w:color w:val="auto"/>
          <w:sz w:val="22"/>
          <w:szCs w:val="22"/>
        </w:rPr>
        <w:t>s</w:t>
      </w:r>
      <w:r>
        <w:rPr>
          <w:color w:val="auto"/>
          <w:sz w:val="22"/>
          <w:szCs w:val="22"/>
        </w:rPr>
        <w:t>ide</w:t>
      </w:r>
      <w:r w:rsidR="00AF70BF">
        <w:rPr>
          <w:color w:val="auto"/>
          <w:sz w:val="22"/>
          <w:szCs w:val="22"/>
        </w:rPr>
        <w:t>-e</w:t>
      </w:r>
      <w:r>
        <w:rPr>
          <w:color w:val="auto"/>
          <w:sz w:val="22"/>
          <w:szCs w:val="22"/>
        </w:rPr>
        <w:t xml:space="preserve">vent of the 2019 Commission on the Status of Women/CSW </w:t>
      </w:r>
    </w:p>
    <w:p w14:paraId="4D77B8C7" w14:textId="4E4F31A3" w:rsidR="00772358" w:rsidRDefault="00772358" w:rsidP="00467119">
      <w:pPr>
        <w:pStyle w:val="Default"/>
        <w:jc w:val="both"/>
        <w:rPr>
          <w:color w:val="auto"/>
          <w:sz w:val="22"/>
          <w:szCs w:val="22"/>
        </w:rPr>
      </w:pPr>
      <w:r>
        <w:rPr>
          <w:b/>
          <w:bCs/>
          <w:color w:val="auto"/>
          <w:sz w:val="22"/>
          <w:szCs w:val="22"/>
        </w:rPr>
        <w:t>Participants:</w:t>
      </w:r>
      <w:r w:rsidRPr="000A4EA3">
        <w:rPr>
          <w:bCs/>
          <w:color w:val="auto"/>
          <w:sz w:val="22"/>
          <w:szCs w:val="22"/>
        </w:rPr>
        <w:t xml:space="preserve"> </w:t>
      </w:r>
      <w:r w:rsidR="000A4EA3" w:rsidRPr="000A4EA3">
        <w:rPr>
          <w:bCs/>
          <w:color w:val="auto"/>
          <w:sz w:val="22"/>
          <w:szCs w:val="22"/>
        </w:rPr>
        <w:t xml:space="preserve">NY-based UN staff will be invited, together with </w:t>
      </w:r>
      <w:r w:rsidR="000A4EA3">
        <w:rPr>
          <w:bCs/>
          <w:color w:val="auto"/>
          <w:sz w:val="22"/>
          <w:szCs w:val="22"/>
        </w:rPr>
        <w:t xml:space="preserve">participants at the </w:t>
      </w:r>
      <w:r w:rsidR="000A4EA3" w:rsidRPr="000A4EA3">
        <w:rPr>
          <w:bCs/>
          <w:color w:val="auto"/>
          <w:sz w:val="22"/>
          <w:szCs w:val="22"/>
        </w:rPr>
        <w:t>CSW (a</w:t>
      </w:r>
      <w:r w:rsidRPr="000A4EA3">
        <w:rPr>
          <w:color w:val="auto"/>
          <w:sz w:val="22"/>
          <w:szCs w:val="22"/>
        </w:rPr>
        <w:t>pproxi</w:t>
      </w:r>
      <w:r>
        <w:rPr>
          <w:color w:val="auto"/>
          <w:sz w:val="22"/>
          <w:szCs w:val="22"/>
        </w:rPr>
        <w:t xml:space="preserve">mately </w:t>
      </w:r>
      <w:r w:rsidR="008A2BB1">
        <w:rPr>
          <w:color w:val="auto"/>
          <w:sz w:val="22"/>
          <w:szCs w:val="22"/>
        </w:rPr>
        <w:t>5</w:t>
      </w:r>
      <w:r>
        <w:rPr>
          <w:color w:val="auto"/>
          <w:sz w:val="22"/>
          <w:szCs w:val="22"/>
        </w:rPr>
        <w:t>0 people</w:t>
      </w:r>
      <w:r w:rsidR="000A4EA3">
        <w:rPr>
          <w:color w:val="auto"/>
          <w:sz w:val="22"/>
          <w:szCs w:val="22"/>
        </w:rPr>
        <w:t>)</w:t>
      </w:r>
      <w:r>
        <w:rPr>
          <w:color w:val="auto"/>
          <w:sz w:val="22"/>
          <w:szCs w:val="22"/>
        </w:rPr>
        <w:t xml:space="preserve"> </w:t>
      </w:r>
    </w:p>
    <w:p w14:paraId="04F88AE1" w14:textId="3395FC14" w:rsidR="00772358" w:rsidRDefault="001B7359" w:rsidP="00467119">
      <w:pPr>
        <w:pStyle w:val="Default"/>
        <w:jc w:val="both"/>
        <w:rPr>
          <w:color w:val="auto"/>
          <w:sz w:val="22"/>
          <w:szCs w:val="22"/>
        </w:rPr>
      </w:pPr>
      <w:r>
        <w:rPr>
          <w:b/>
          <w:bCs/>
          <w:color w:val="auto"/>
          <w:sz w:val="22"/>
          <w:szCs w:val="22"/>
        </w:rPr>
        <w:t>Budget:</w:t>
      </w:r>
      <w:r w:rsidRPr="000A4EA3">
        <w:rPr>
          <w:bCs/>
          <w:color w:val="auto"/>
          <w:sz w:val="22"/>
          <w:szCs w:val="22"/>
        </w:rPr>
        <w:t xml:space="preserve"> </w:t>
      </w:r>
      <w:r w:rsidR="000A4EA3" w:rsidRPr="000A4EA3">
        <w:rPr>
          <w:bCs/>
          <w:color w:val="auto"/>
          <w:sz w:val="22"/>
          <w:szCs w:val="22"/>
        </w:rPr>
        <w:t xml:space="preserve">Light lunch will be </w:t>
      </w:r>
      <w:r w:rsidR="004F62D3">
        <w:rPr>
          <w:bCs/>
          <w:color w:val="auto"/>
          <w:sz w:val="22"/>
          <w:szCs w:val="22"/>
        </w:rPr>
        <w:t>provided</w:t>
      </w:r>
    </w:p>
    <w:p w14:paraId="4DF49262" w14:textId="2687B0D3" w:rsidR="00772358" w:rsidRDefault="00772358" w:rsidP="00467119">
      <w:pPr>
        <w:pStyle w:val="Default"/>
        <w:jc w:val="both"/>
        <w:rPr>
          <w:color w:val="auto"/>
          <w:sz w:val="22"/>
          <w:szCs w:val="22"/>
        </w:rPr>
      </w:pPr>
      <w:r>
        <w:rPr>
          <w:b/>
          <w:bCs/>
          <w:color w:val="auto"/>
          <w:sz w:val="22"/>
          <w:szCs w:val="22"/>
        </w:rPr>
        <w:t>The organizers:</w:t>
      </w:r>
      <w:r w:rsidRPr="001B7359">
        <w:rPr>
          <w:bCs/>
          <w:color w:val="auto"/>
          <w:sz w:val="22"/>
          <w:szCs w:val="22"/>
        </w:rPr>
        <w:t xml:space="preserve"> </w:t>
      </w:r>
      <w:r w:rsidR="001B7359">
        <w:rPr>
          <w:bCs/>
          <w:color w:val="auto"/>
          <w:sz w:val="22"/>
          <w:szCs w:val="22"/>
        </w:rPr>
        <w:t xml:space="preserve">UNFPA and UNDP – </w:t>
      </w:r>
      <w:r w:rsidR="00A23141">
        <w:rPr>
          <w:bCs/>
          <w:color w:val="auto"/>
          <w:sz w:val="22"/>
          <w:szCs w:val="22"/>
        </w:rPr>
        <w:t xml:space="preserve">as </w:t>
      </w:r>
      <w:r w:rsidR="001B7359">
        <w:rPr>
          <w:bCs/>
          <w:color w:val="auto"/>
          <w:sz w:val="22"/>
          <w:szCs w:val="22"/>
        </w:rPr>
        <w:t>co-convening agencies on empowering key populati</w:t>
      </w:r>
      <w:r w:rsidR="00A23141">
        <w:rPr>
          <w:bCs/>
          <w:color w:val="auto"/>
          <w:sz w:val="22"/>
          <w:szCs w:val="22"/>
        </w:rPr>
        <w:t xml:space="preserve">ons to reduce </w:t>
      </w:r>
      <w:r w:rsidR="00C52D3D">
        <w:rPr>
          <w:bCs/>
          <w:color w:val="auto"/>
          <w:sz w:val="22"/>
          <w:szCs w:val="22"/>
        </w:rPr>
        <w:t>HIV</w:t>
      </w:r>
      <w:r w:rsidR="00A23141">
        <w:rPr>
          <w:bCs/>
          <w:color w:val="auto"/>
          <w:sz w:val="22"/>
          <w:szCs w:val="22"/>
        </w:rPr>
        <w:t xml:space="preserve"> risk</w:t>
      </w:r>
      <w:r w:rsidR="001B7359">
        <w:rPr>
          <w:bCs/>
          <w:color w:val="auto"/>
          <w:sz w:val="22"/>
          <w:szCs w:val="22"/>
        </w:rPr>
        <w:t>.</w:t>
      </w:r>
      <w:r>
        <w:rPr>
          <w:color w:val="auto"/>
          <w:sz w:val="22"/>
          <w:szCs w:val="22"/>
        </w:rPr>
        <w:t xml:space="preserve"> </w:t>
      </w:r>
    </w:p>
    <w:p w14:paraId="43074D03" w14:textId="77777777" w:rsidR="00C52D3D" w:rsidRDefault="00C52D3D" w:rsidP="00467119">
      <w:pPr>
        <w:pStyle w:val="Default"/>
        <w:jc w:val="both"/>
        <w:rPr>
          <w:b/>
          <w:color w:val="auto"/>
          <w:sz w:val="22"/>
          <w:szCs w:val="22"/>
        </w:rPr>
      </w:pPr>
    </w:p>
    <w:p w14:paraId="60ADA3F3" w14:textId="77777777" w:rsidR="00C52D3D" w:rsidRDefault="00C52D3D" w:rsidP="00467119">
      <w:pPr>
        <w:jc w:val="both"/>
        <w:rPr>
          <w:rFonts w:ascii="Calibri" w:hAnsi="Calibri" w:cs="Calibri"/>
          <w:b/>
          <w:sz w:val="22"/>
          <w:szCs w:val="22"/>
        </w:rPr>
      </w:pPr>
      <w:r>
        <w:rPr>
          <w:b/>
          <w:sz w:val="22"/>
          <w:szCs w:val="22"/>
        </w:rPr>
        <w:br w:type="page"/>
      </w:r>
    </w:p>
    <w:p w14:paraId="0A66B80D" w14:textId="0A224B41" w:rsidR="000C2A4E" w:rsidRPr="0000008F" w:rsidRDefault="000C2A4E" w:rsidP="00467119">
      <w:pPr>
        <w:pStyle w:val="Default"/>
        <w:jc w:val="both"/>
        <w:rPr>
          <w:rFonts w:asciiTheme="minorHAnsi" w:hAnsiTheme="minorHAnsi"/>
          <w:b/>
          <w:color w:val="auto"/>
          <w:sz w:val="22"/>
          <w:szCs w:val="22"/>
        </w:rPr>
      </w:pPr>
      <w:r w:rsidRPr="0000008F">
        <w:rPr>
          <w:rFonts w:asciiTheme="minorHAnsi" w:hAnsiTheme="minorHAnsi"/>
          <w:b/>
          <w:color w:val="auto"/>
          <w:sz w:val="22"/>
          <w:szCs w:val="22"/>
        </w:rPr>
        <w:lastRenderedPageBreak/>
        <w:t xml:space="preserve">Annex 1: </w:t>
      </w:r>
      <w:r w:rsidR="006C5EF4" w:rsidRPr="0000008F">
        <w:rPr>
          <w:rFonts w:asciiTheme="minorHAnsi" w:hAnsiTheme="minorHAnsi"/>
          <w:b/>
          <w:color w:val="auto"/>
          <w:sz w:val="22"/>
          <w:szCs w:val="22"/>
        </w:rPr>
        <w:t xml:space="preserve">Panelists selected from the </w:t>
      </w:r>
      <w:r w:rsidRPr="0000008F">
        <w:rPr>
          <w:rFonts w:asciiTheme="minorHAnsi" w:hAnsiTheme="minorHAnsi"/>
          <w:b/>
          <w:color w:val="auto"/>
          <w:sz w:val="22"/>
          <w:szCs w:val="22"/>
        </w:rPr>
        <w:t>NSWP delegation to CSW</w:t>
      </w:r>
      <w:r w:rsidR="006C5EF4" w:rsidRPr="0000008F">
        <w:rPr>
          <w:rFonts w:asciiTheme="minorHAnsi" w:hAnsiTheme="minorHAnsi"/>
          <w:b/>
          <w:color w:val="auto"/>
          <w:sz w:val="22"/>
          <w:szCs w:val="22"/>
        </w:rPr>
        <w:t>:</w:t>
      </w:r>
    </w:p>
    <w:p w14:paraId="5FAE3948" w14:textId="77777777" w:rsidR="000F76F3" w:rsidRPr="0000008F" w:rsidRDefault="000F76F3" w:rsidP="00467119">
      <w:pPr>
        <w:jc w:val="both"/>
        <w:rPr>
          <w:sz w:val="22"/>
          <w:szCs w:val="22"/>
          <w:lang w:val="en-GB"/>
        </w:rPr>
      </w:pPr>
      <w:r w:rsidRPr="0000008F">
        <w:rPr>
          <w:sz w:val="22"/>
          <w:szCs w:val="22"/>
          <w:lang w:val="en-GB"/>
        </w:rPr>
        <w:t>Kholi Buthelezi, Sisonke – South Africa</w:t>
      </w:r>
    </w:p>
    <w:p w14:paraId="39D87505" w14:textId="77777777" w:rsidR="000F76F3" w:rsidRPr="0000008F" w:rsidRDefault="000F76F3" w:rsidP="00467119">
      <w:pPr>
        <w:jc w:val="both"/>
        <w:rPr>
          <w:sz w:val="22"/>
          <w:szCs w:val="22"/>
          <w:lang w:val="en-GB"/>
        </w:rPr>
      </w:pPr>
      <w:r w:rsidRPr="0000008F">
        <w:rPr>
          <w:sz w:val="22"/>
          <w:szCs w:val="22"/>
          <w:lang w:val="en-GB"/>
        </w:rPr>
        <w:t>Lala Maty Sow Ep Ndiaye, AND SOPEKU – Senegal</w:t>
      </w:r>
    </w:p>
    <w:p w14:paraId="400E0FF1" w14:textId="77777777" w:rsidR="000F76F3" w:rsidRPr="0000008F" w:rsidRDefault="000F76F3" w:rsidP="00467119">
      <w:pPr>
        <w:jc w:val="both"/>
        <w:rPr>
          <w:sz w:val="22"/>
          <w:szCs w:val="22"/>
          <w:lang w:val="en-GB"/>
        </w:rPr>
      </w:pPr>
      <w:r w:rsidRPr="0000008F">
        <w:rPr>
          <w:sz w:val="22"/>
          <w:szCs w:val="22"/>
          <w:lang w:val="en-GB"/>
        </w:rPr>
        <w:t xml:space="preserve">Phelister Abdalla, KESWA – Kenya – supported by International Women’s Health Coalition </w:t>
      </w:r>
    </w:p>
    <w:p w14:paraId="76866332" w14:textId="77777777" w:rsidR="000F76F3" w:rsidRPr="0000008F" w:rsidRDefault="000F76F3" w:rsidP="00467119">
      <w:pPr>
        <w:jc w:val="both"/>
        <w:rPr>
          <w:sz w:val="22"/>
          <w:szCs w:val="22"/>
          <w:lang w:val="en-GB"/>
        </w:rPr>
      </w:pPr>
      <w:r w:rsidRPr="0000008F">
        <w:rPr>
          <w:sz w:val="22"/>
          <w:szCs w:val="22"/>
          <w:lang w:val="en-GB"/>
        </w:rPr>
        <w:t>KayThi Win, APNSW and NSWP President – Myanmar/Thailand</w:t>
      </w:r>
    </w:p>
    <w:p w14:paraId="1C985C6B" w14:textId="77777777" w:rsidR="000F76F3" w:rsidRPr="0000008F" w:rsidRDefault="000F76F3" w:rsidP="00467119">
      <w:pPr>
        <w:jc w:val="both"/>
        <w:rPr>
          <w:sz w:val="22"/>
          <w:szCs w:val="22"/>
          <w:lang w:val="en-GB"/>
        </w:rPr>
      </w:pPr>
      <w:r w:rsidRPr="0000008F">
        <w:rPr>
          <w:sz w:val="22"/>
          <w:szCs w:val="22"/>
          <w:lang w:val="en-GB"/>
        </w:rPr>
        <w:t>Elisha Kor, PKKUM – Malaysia</w:t>
      </w:r>
    </w:p>
    <w:p w14:paraId="1C1E340A" w14:textId="77777777" w:rsidR="000F76F3" w:rsidRPr="0000008F" w:rsidRDefault="000F76F3" w:rsidP="00467119">
      <w:pPr>
        <w:jc w:val="both"/>
        <w:rPr>
          <w:sz w:val="22"/>
          <w:szCs w:val="22"/>
          <w:lang w:val="en-GB"/>
        </w:rPr>
      </w:pPr>
      <w:r w:rsidRPr="0000008F">
        <w:rPr>
          <w:sz w:val="22"/>
          <w:szCs w:val="22"/>
          <w:lang w:val="en-GB"/>
        </w:rPr>
        <w:t>Catherine Healy, NZPC – New Zealand</w:t>
      </w:r>
    </w:p>
    <w:p w14:paraId="4DBF1BD4" w14:textId="77777777" w:rsidR="000F76F3" w:rsidRPr="0000008F" w:rsidRDefault="000F76F3" w:rsidP="00467119">
      <w:pPr>
        <w:jc w:val="both"/>
        <w:rPr>
          <w:sz w:val="22"/>
          <w:szCs w:val="22"/>
          <w:lang w:val="en-GB"/>
        </w:rPr>
      </w:pPr>
      <w:r w:rsidRPr="0000008F">
        <w:rPr>
          <w:sz w:val="22"/>
          <w:szCs w:val="22"/>
          <w:lang w:val="en-GB"/>
        </w:rPr>
        <w:t>Nataliia Isaieva, Legalife-Ukraine – Ukraine</w:t>
      </w:r>
    </w:p>
    <w:p w14:paraId="379B76B2" w14:textId="77777777" w:rsidR="000F76F3" w:rsidRPr="0000008F" w:rsidRDefault="000F76F3" w:rsidP="00467119">
      <w:pPr>
        <w:jc w:val="both"/>
        <w:rPr>
          <w:sz w:val="22"/>
          <w:szCs w:val="22"/>
          <w:lang w:val="en-GB"/>
        </w:rPr>
      </w:pPr>
      <w:r w:rsidRPr="0000008F">
        <w:rPr>
          <w:sz w:val="22"/>
          <w:szCs w:val="22"/>
          <w:lang w:val="en-GB"/>
        </w:rPr>
        <w:t>Thierry Schaffauser, STRASS – France</w:t>
      </w:r>
    </w:p>
    <w:p w14:paraId="62256CF8" w14:textId="77777777" w:rsidR="000F76F3" w:rsidRPr="0000008F" w:rsidRDefault="000F76F3" w:rsidP="00467119">
      <w:pPr>
        <w:jc w:val="both"/>
        <w:rPr>
          <w:sz w:val="22"/>
          <w:szCs w:val="22"/>
          <w:lang w:val="en-GB"/>
        </w:rPr>
      </w:pPr>
      <w:r w:rsidRPr="0000008F">
        <w:rPr>
          <w:sz w:val="22"/>
          <w:szCs w:val="22"/>
          <w:lang w:val="en-GB"/>
        </w:rPr>
        <w:t xml:space="preserve">Shaunna-May Trotman, GSWC – Guyana </w:t>
      </w:r>
    </w:p>
    <w:p w14:paraId="50D24BEC" w14:textId="395B6995" w:rsidR="000F76F3" w:rsidRPr="0000008F" w:rsidRDefault="000F76F3" w:rsidP="00467119">
      <w:pPr>
        <w:jc w:val="both"/>
        <w:rPr>
          <w:sz w:val="22"/>
          <w:szCs w:val="22"/>
          <w:lang w:val="en-GB"/>
        </w:rPr>
      </w:pPr>
      <w:r w:rsidRPr="0000008F">
        <w:rPr>
          <w:sz w:val="22"/>
          <w:szCs w:val="22"/>
          <w:lang w:val="en-GB"/>
        </w:rPr>
        <w:t>Ruth Morgan Thomas, Global Coordinator, NSWP – Scotland UK</w:t>
      </w:r>
    </w:p>
    <w:p w14:paraId="0A0EE1B5" w14:textId="1AF7723A" w:rsidR="000C2A4E" w:rsidRPr="0000008F" w:rsidRDefault="000F76F3" w:rsidP="00467119">
      <w:pPr>
        <w:pStyle w:val="Default"/>
        <w:jc w:val="both"/>
        <w:rPr>
          <w:rFonts w:asciiTheme="minorHAnsi" w:hAnsiTheme="minorHAnsi"/>
          <w:sz w:val="22"/>
          <w:szCs w:val="22"/>
          <w:lang w:val="en-GB"/>
        </w:rPr>
      </w:pPr>
      <w:r w:rsidRPr="0000008F">
        <w:rPr>
          <w:rFonts w:asciiTheme="minorHAnsi" w:hAnsiTheme="minorHAnsi"/>
          <w:sz w:val="22"/>
          <w:szCs w:val="22"/>
          <w:lang w:val="en-GB"/>
        </w:rPr>
        <w:t>Katherine Koster, NSWP – USA</w:t>
      </w:r>
    </w:p>
    <w:p w14:paraId="21E5CFBF" w14:textId="085FA077" w:rsidR="006C5EF4" w:rsidRPr="0000008F" w:rsidRDefault="006C5EF4" w:rsidP="00467119">
      <w:pPr>
        <w:pStyle w:val="Default"/>
        <w:jc w:val="both"/>
        <w:rPr>
          <w:rFonts w:asciiTheme="minorHAnsi" w:hAnsiTheme="minorHAnsi"/>
          <w:sz w:val="22"/>
          <w:szCs w:val="22"/>
          <w:lang w:val="en-GB"/>
        </w:rPr>
      </w:pPr>
    </w:p>
    <w:p w14:paraId="579BB30C" w14:textId="670A49E2" w:rsidR="006C5EF4" w:rsidRPr="0000008F" w:rsidRDefault="006C5EF4" w:rsidP="00467119">
      <w:pPr>
        <w:pStyle w:val="Default"/>
        <w:jc w:val="both"/>
        <w:rPr>
          <w:rFonts w:asciiTheme="minorHAnsi" w:hAnsiTheme="minorHAnsi"/>
          <w:b/>
          <w:sz w:val="22"/>
          <w:szCs w:val="22"/>
          <w:lang w:val="en-GB"/>
        </w:rPr>
      </w:pPr>
      <w:r w:rsidRPr="0000008F">
        <w:rPr>
          <w:rFonts w:asciiTheme="minorHAnsi" w:hAnsiTheme="minorHAnsi"/>
          <w:b/>
          <w:sz w:val="22"/>
          <w:szCs w:val="22"/>
          <w:lang w:val="en-GB"/>
        </w:rPr>
        <w:t>Other panellists include:</w:t>
      </w:r>
    </w:p>
    <w:p w14:paraId="10C161CF" w14:textId="6A69CC40" w:rsidR="006C5EF4" w:rsidRPr="0000008F" w:rsidRDefault="006C5EF4" w:rsidP="00467119">
      <w:pPr>
        <w:pStyle w:val="Default"/>
        <w:jc w:val="both"/>
        <w:rPr>
          <w:rFonts w:asciiTheme="minorHAnsi" w:hAnsiTheme="minorHAnsi"/>
          <w:sz w:val="22"/>
          <w:szCs w:val="22"/>
          <w:lang w:val="en-GB"/>
        </w:rPr>
      </w:pPr>
      <w:r w:rsidRPr="0000008F">
        <w:rPr>
          <w:rFonts w:asciiTheme="minorHAnsi" w:hAnsiTheme="minorHAnsi"/>
          <w:sz w:val="22"/>
          <w:szCs w:val="22"/>
          <w:lang w:val="en-GB"/>
        </w:rPr>
        <w:t>Anneka Knutsson, Chief, SRHB, UNFPA TD</w:t>
      </w:r>
    </w:p>
    <w:p w14:paraId="77CDA656" w14:textId="769DA20A" w:rsidR="006C5EF4" w:rsidRPr="0000008F" w:rsidRDefault="006C5EF4" w:rsidP="00467119">
      <w:pPr>
        <w:pStyle w:val="Default"/>
        <w:jc w:val="both"/>
        <w:rPr>
          <w:rFonts w:asciiTheme="minorHAnsi" w:hAnsiTheme="minorHAnsi"/>
          <w:sz w:val="22"/>
          <w:szCs w:val="22"/>
          <w:lang w:val="en-GB"/>
        </w:rPr>
      </w:pPr>
      <w:r w:rsidRPr="0000008F">
        <w:rPr>
          <w:rFonts w:asciiTheme="minorHAnsi" w:hAnsiTheme="minorHAnsi"/>
          <w:sz w:val="22"/>
          <w:szCs w:val="22"/>
          <w:lang w:val="en-GB"/>
        </w:rPr>
        <w:t xml:space="preserve">Mandeep Dhaliwal, Director, HIV, Health and Development </w:t>
      </w:r>
      <w:r w:rsidR="00093E62" w:rsidRPr="0000008F">
        <w:rPr>
          <w:rFonts w:asciiTheme="minorHAnsi" w:hAnsiTheme="minorHAnsi"/>
          <w:sz w:val="22"/>
          <w:szCs w:val="22"/>
          <w:lang w:val="en-GB"/>
        </w:rPr>
        <w:t>Group</w:t>
      </w:r>
      <w:r w:rsidRPr="0000008F">
        <w:rPr>
          <w:rFonts w:asciiTheme="minorHAnsi" w:hAnsiTheme="minorHAnsi"/>
          <w:sz w:val="22"/>
          <w:szCs w:val="22"/>
          <w:lang w:val="en-GB"/>
        </w:rPr>
        <w:t>, UNDP</w:t>
      </w:r>
    </w:p>
    <w:p w14:paraId="039ACE67" w14:textId="4FDDBAC4" w:rsidR="006C5EF4" w:rsidRPr="0000008F" w:rsidRDefault="006C5EF4" w:rsidP="00467119">
      <w:pPr>
        <w:pStyle w:val="Default"/>
        <w:jc w:val="both"/>
        <w:rPr>
          <w:rFonts w:asciiTheme="minorHAnsi" w:hAnsiTheme="minorHAnsi"/>
          <w:sz w:val="22"/>
          <w:szCs w:val="22"/>
          <w:lang w:val="en-GB"/>
        </w:rPr>
      </w:pPr>
      <w:r w:rsidRPr="0000008F">
        <w:rPr>
          <w:rFonts w:asciiTheme="minorHAnsi" w:hAnsiTheme="minorHAnsi"/>
          <w:sz w:val="22"/>
          <w:szCs w:val="22"/>
          <w:lang w:val="en-GB"/>
        </w:rPr>
        <w:t>Tim Sladden, Adviser, SRHB, TD</w:t>
      </w:r>
    </w:p>
    <w:p w14:paraId="454A3506" w14:textId="185E417C" w:rsidR="006C5EF4" w:rsidRPr="0000008F" w:rsidRDefault="006C5EF4" w:rsidP="00467119">
      <w:pPr>
        <w:pStyle w:val="Default"/>
        <w:jc w:val="both"/>
        <w:rPr>
          <w:rFonts w:asciiTheme="minorHAnsi" w:hAnsiTheme="minorHAnsi"/>
          <w:sz w:val="22"/>
          <w:szCs w:val="22"/>
          <w:lang w:val="en-GB"/>
        </w:rPr>
      </w:pPr>
    </w:p>
    <w:sectPr w:rsidR="006C5EF4" w:rsidRPr="0000008F" w:rsidSect="001B7359">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720"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E577B" w16cid:durableId="2017D2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F1E10" w14:textId="77777777" w:rsidR="008B3651" w:rsidRDefault="008B3651" w:rsidP="000F76F3">
      <w:r>
        <w:separator/>
      </w:r>
    </w:p>
  </w:endnote>
  <w:endnote w:type="continuationSeparator" w:id="0">
    <w:p w14:paraId="47572F6B" w14:textId="77777777" w:rsidR="008B3651" w:rsidRDefault="008B3651" w:rsidP="000F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7EC15" w14:textId="77777777" w:rsidR="0000008F" w:rsidRDefault="00000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E9CA" w14:textId="77777777" w:rsidR="0000008F" w:rsidRDefault="00000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A408" w14:textId="77777777" w:rsidR="0000008F" w:rsidRDefault="0000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111BF" w14:textId="77777777" w:rsidR="008B3651" w:rsidRDefault="008B3651" w:rsidP="000F76F3">
      <w:r>
        <w:separator/>
      </w:r>
    </w:p>
  </w:footnote>
  <w:footnote w:type="continuationSeparator" w:id="0">
    <w:p w14:paraId="31368D92" w14:textId="77777777" w:rsidR="008B3651" w:rsidRDefault="008B3651" w:rsidP="000F76F3">
      <w:r>
        <w:continuationSeparator/>
      </w:r>
    </w:p>
  </w:footnote>
  <w:footnote w:id="1">
    <w:p w14:paraId="535A2841" w14:textId="304D87C6" w:rsidR="000F76F3" w:rsidRDefault="000F76F3">
      <w:pPr>
        <w:pStyle w:val="FootnoteText"/>
      </w:pPr>
      <w:r>
        <w:rPr>
          <w:rStyle w:val="FootnoteReference"/>
        </w:rPr>
        <w:footnoteRef/>
      </w:r>
      <w:r>
        <w:t xml:space="preserve"> The Global Network of Sex Work Projects is an Implementing Partner of UNFPA: </w:t>
      </w:r>
      <w:hyperlink r:id="rId1" w:history="1">
        <w:r w:rsidRPr="00ED6D52">
          <w:rPr>
            <w:rStyle w:val="Hyperlink"/>
          </w:rPr>
          <w:t>www.nswp.org</w:t>
        </w:r>
      </w:hyperlink>
      <w:r>
        <w:t xml:space="preserve"> </w:t>
      </w:r>
    </w:p>
  </w:footnote>
  <w:footnote w:id="2">
    <w:p w14:paraId="28A02CE0" w14:textId="78D98ADC" w:rsidR="000F76F3" w:rsidRDefault="000F76F3">
      <w:pPr>
        <w:pStyle w:val="FootnoteText"/>
      </w:pPr>
      <w:r>
        <w:rPr>
          <w:rStyle w:val="FootnoteReference"/>
        </w:rPr>
        <w:footnoteRef/>
      </w:r>
      <w:r>
        <w:t xml:space="preserve"> UNAIDS Guidance Note on HIV and Sex Work (2012): </w:t>
      </w:r>
      <w:hyperlink r:id="rId2" w:history="1">
        <w:r w:rsidRPr="00ED6D52">
          <w:rPr>
            <w:rStyle w:val="Hyperlink"/>
          </w:rPr>
          <w:t>http://www.unaids.org/en/resources/documents/2012/20120402_UNAIDS-guidance-note-HIV-sex-work</w:t>
        </w:r>
      </w:hyperlink>
      <w:r>
        <w:t xml:space="preserve"> </w:t>
      </w:r>
    </w:p>
  </w:footnote>
  <w:footnote w:id="3">
    <w:p w14:paraId="4094B756" w14:textId="5B4F10D1" w:rsidR="000F76F3" w:rsidRDefault="000F76F3">
      <w:pPr>
        <w:pStyle w:val="FootnoteText"/>
      </w:pPr>
      <w:r>
        <w:rPr>
          <w:rStyle w:val="FootnoteReference"/>
        </w:rPr>
        <w:footnoteRef/>
      </w:r>
      <w:r>
        <w:t xml:space="preserve"> NSWP presentation to UNAIDS-UNDP-UNFPA consultation on HIV and sex work (UNAIDS HQ, Geneva, </w:t>
      </w:r>
      <w:r w:rsidR="00EB4375">
        <w:t xml:space="preserve">December </w:t>
      </w:r>
      <w:r>
        <w:t>2018)</w:t>
      </w:r>
    </w:p>
  </w:footnote>
  <w:footnote w:id="4">
    <w:p w14:paraId="42CF8647" w14:textId="78CD4D45" w:rsidR="000F76F3" w:rsidRDefault="000F76F3">
      <w:pPr>
        <w:pStyle w:val="FootnoteText"/>
      </w:pPr>
      <w:r>
        <w:rPr>
          <w:rStyle w:val="FootnoteReference"/>
        </w:rPr>
        <w:footnoteRef/>
      </w:r>
      <w:r>
        <w:t xml:space="preserve"> </w:t>
      </w:r>
      <w:hyperlink r:id="rId3" w:history="1">
        <w:r w:rsidRPr="00ED6D52">
          <w:rPr>
            <w:rStyle w:val="Hyperlink"/>
          </w:rPr>
          <w:t>https://www.nswp.org/sites/nswp.org/files/impact_of_criminalisation_pb_prf01.pdf</w:t>
        </w:r>
      </w:hyperlink>
      <w:r>
        <w:t xml:space="preserve"> </w:t>
      </w:r>
    </w:p>
  </w:footnote>
  <w:footnote w:id="5">
    <w:p w14:paraId="45026CB6" w14:textId="0AFDD268" w:rsidR="000F76F3" w:rsidRDefault="000F76F3">
      <w:pPr>
        <w:pStyle w:val="FootnoteText"/>
      </w:pPr>
      <w:r>
        <w:rPr>
          <w:rStyle w:val="FootnoteReference"/>
        </w:rPr>
        <w:footnoteRef/>
      </w:r>
      <w:r>
        <w:t xml:space="preserve"> </w:t>
      </w:r>
      <w:hyperlink r:id="rId4" w:history="1">
        <w:r w:rsidRPr="00ED6D52">
          <w:rPr>
            <w:rStyle w:val="Hyperlink"/>
          </w:rPr>
          <w:t>https://hivlawcommission.org/report/</w:t>
        </w:r>
      </w:hyperlink>
      <w:r>
        <w:t xml:space="preserve">; and </w:t>
      </w:r>
      <w:hyperlink r:id="rId5" w:history="1">
        <w:r w:rsidRPr="00ED6D52">
          <w:rPr>
            <w:rStyle w:val="Hyperlink"/>
          </w:rPr>
          <w:t>https://hivlawcommission.org/supplement/</w:t>
        </w:r>
      </w:hyperlink>
      <w:r>
        <w:t xml:space="preserve"> </w:t>
      </w:r>
    </w:p>
  </w:footnote>
  <w:footnote w:id="6">
    <w:p w14:paraId="24F81529" w14:textId="380C430E" w:rsidR="006C5EF4" w:rsidRDefault="006C5EF4">
      <w:pPr>
        <w:pStyle w:val="FootnoteText"/>
      </w:pPr>
      <w:r>
        <w:rPr>
          <w:rStyle w:val="FootnoteReference"/>
        </w:rPr>
        <w:footnoteRef/>
      </w:r>
      <w:r>
        <w:t xml:space="preserve"> </w:t>
      </w:r>
      <w:hyperlink r:id="rId6" w:history="1">
        <w:r w:rsidRPr="00ED6D52">
          <w:rPr>
            <w:rStyle w:val="Hyperlink"/>
          </w:rPr>
          <w:t>http://www.unaids.org/en/20180718_GR2018</w:t>
        </w:r>
      </w:hyperlink>
      <w:r>
        <w:t xml:space="preserve"> </w:t>
      </w:r>
    </w:p>
  </w:footnote>
  <w:footnote w:id="7">
    <w:p w14:paraId="302F6279" w14:textId="46BC7302" w:rsidR="006C5EF4" w:rsidRDefault="006C5EF4">
      <w:pPr>
        <w:pStyle w:val="FootnoteText"/>
      </w:pPr>
      <w:r>
        <w:rPr>
          <w:rStyle w:val="FootnoteReference"/>
        </w:rPr>
        <w:footnoteRef/>
      </w:r>
      <w:r>
        <w:t xml:space="preserve"> </w:t>
      </w:r>
      <w:hyperlink r:id="rId7" w:history="1">
        <w:r w:rsidRPr="00ED6D52">
          <w:rPr>
            <w:rStyle w:val="Hyperlink"/>
          </w:rPr>
          <w:t>https://www.thelancet.com/series/HIV-and-sex-workers</w:t>
        </w:r>
      </w:hyperlink>
      <w:r>
        <w:t xml:space="preserve">; and </w:t>
      </w:r>
      <w:hyperlink r:id="rId8" w:history="1">
        <w:r w:rsidRPr="00ED6D52">
          <w:rPr>
            <w:rStyle w:val="Hyperlink"/>
          </w:rPr>
          <w:t>https://www.thelancet.com/pdfs/journals/lancet/PIIS0140-6736(14)60931-4.pdf</w:t>
        </w:r>
      </w:hyperlink>
      <w:r>
        <w:t xml:space="preserve"> </w:t>
      </w:r>
    </w:p>
  </w:footnote>
  <w:footnote w:id="8">
    <w:p w14:paraId="5BA3F740" w14:textId="726C1F05" w:rsidR="006C5EF4" w:rsidRDefault="006C5EF4">
      <w:pPr>
        <w:pStyle w:val="FootnoteText"/>
      </w:pPr>
      <w:r>
        <w:rPr>
          <w:rStyle w:val="FootnoteReference"/>
        </w:rPr>
        <w:footnoteRef/>
      </w:r>
      <w:r>
        <w:t xml:space="preserve"> Annex 3: </w:t>
      </w:r>
      <w:hyperlink r:id="rId9" w:history="1">
        <w:r w:rsidRPr="00ED6D52">
          <w:rPr>
            <w:rStyle w:val="Hyperlink"/>
          </w:rPr>
          <w:t>http://www.unaids.org/en/resources/documents/2012/20120402_UNAIDS-guidance-note-HIV-sex-work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8CC7" w14:textId="77777777" w:rsidR="0000008F" w:rsidRDefault="00000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061919"/>
      <w:docPartObj>
        <w:docPartGallery w:val="Watermarks"/>
        <w:docPartUnique/>
      </w:docPartObj>
    </w:sdtPr>
    <w:sdtEndPr/>
    <w:sdtContent>
      <w:p w14:paraId="21130011" w14:textId="500FF6ED" w:rsidR="0000008F" w:rsidRDefault="008B3651">
        <w:pPr>
          <w:pStyle w:val="Header"/>
        </w:pPr>
        <w:r>
          <w:rPr>
            <w:noProof/>
          </w:rPr>
          <w:pict w14:anchorId="537EA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5D92" w14:textId="77777777" w:rsidR="0000008F" w:rsidRDefault="00000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471E0"/>
    <w:multiLevelType w:val="hybridMultilevel"/>
    <w:tmpl w:val="FE42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87375"/>
    <w:multiLevelType w:val="hybridMultilevel"/>
    <w:tmpl w:val="1F2B30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58"/>
    <w:rsid w:val="0000008F"/>
    <w:rsid w:val="0002457E"/>
    <w:rsid w:val="00043F61"/>
    <w:rsid w:val="000602B3"/>
    <w:rsid w:val="00093E62"/>
    <w:rsid w:val="000A4EA3"/>
    <w:rsid w:val="000C2A4E"/>
    <w:rsid w:val="000E3000"/>
    <w:rsid w:val="000F76F3"/>
    <w:rsid w:val="00121E1A"/>
    <w:rsid w:val="00131286"/>
    <w:rsid w:val="001B7359"/>
    <w:rsid w:val="002E0870"/>
    <w:rsid w:val="002F254A"/>
    <w:rsid w:val="00464C14"/>
    <w:rsid w:val="00467119"/>
    <w:rsid w:val="00490F37"/>
    <w:rsid w:val="004F62D3"/>
    <w:rsid w:val="005D48D3"/>
    <w:rsid w:val="005E0F61"/>
    <w:rsid w:val="00652F21"/>
    <w:rsid w:val="006A5214"/>
    <w:rsid w:val="006C5EF4"/>
    <w:rsid w:val="007007ED"/>
    <w:rsid w:val="00754A70"/>
    <w:rsid w:val="00772358"/>
    <w:rsid w:val="0079430A"/>
    <w:rsid w:val="007B0D3A"/>
    <w:rsid w:val="007F640E"/>
    <w:rsid w:val="0082798E"/>
    <w:rsid w:val="008A2BB1"/>
    <w:rsid w:val="008B3651"/>
    <w:rsid w:val="008D7EAD"/>
    <w:rsid w:val="00A207D6"/>
    <w:rsid w:val="00A2126E"/>
    <w:rsid w:val="00A23141"/>
    <w:rsid w:val="00A52630"/>
    <w:rsid w:val="00AA3204"/>
    <w:rsid w:val="00AF70BF"/>
    <w:rsid w:val="00B23BED"/>
    <w:rsid w:val="00BD56E6"/>
    <w:rsid w:val="00C21511"/>
    <w:rsid w:val="00C52D3D"/>
    <w:rsid w:val="00CB2BC1"/>
    <w:rsid w:val="00DF7141"/>
    <w:rsid w:val="00E11519"/>
    <w:rsid w:val="00E97E6C"/>
    <w:rsid w:val="00EB4375"/>
    <w:rsid w:val="00EC5EA4"/>
    <w:rsid w:val="00F13B04"/>
    <w:rsid w:val="00F21334"/>
    <w:rsid w:val="00F313D4"/>
    <w:rsid w:val="00F33151"/>
    <w:rsid w:val="00F41FC5"/>
    <w:rsid w:val="00F43880"/>
    <w:rsid w:val="00FE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EC95F"/>
  <w15:chartTrackingRefBased/>
  <w15:docId w15:val="{8B09EA7A-353A-4CBE-98D5-74830618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2358"/>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0602B3"/>
    <w:rPr>
      <w:sz w:val="16"/>
      <w:szCs w:val="16"/>
    </w:rPr>
  </w:style>
  <w:style w:type="paragraph" w:styleId="CommentText">
    <w:name w:val="annotation text"/>
    <w:basedOn w:val="Normal"/>
    <w:link w:val="CommentTextChar"/>
    <w:uiPriority w:val="99"/>
    <w:semiHidden/>
    <w:unhideWhenUsed/>
    <w:rsid w:val="000602B3"/>
    <w:rPr>
      <w:sz w:val="20"/>
      <w:szCs w:val="20"/>
    </w:rPr>
  </w:style>
  <w:style w:type="character" w:customStyle="1" w:styleId="CommentTextChar">
    <w:name w:val="Comment Text Char"/>
    <w:basedOn w:val="DefaultParagraphFont"/>
    <w:link w:val="CommentText"/>
    <w:uiPriority w:val="99"/>
    <w:semiHidden/>
    <w:rsid w:val="000602B3"/>
    <w:rPr>
      <w:sz w:val="20"/>
      <w:szCs w:val="20"/>
    </w:rPr>
  </w:style>
  <w:style w:type="paragraph" w:styleId="CommentSubject">
    <w:name w:val="annotation subject"/>
    <w:basedOn w:val="CommentText"/>
    <w:next w:val="CommentText"/>
    <w:link w:val="CommentSubjectChar"/>
    <w:uiPriority w:val="99"/>
    <w:semiHidden/>
    <w:unhideWhenUsed/>
    <w:rsid w:val="000602B3"/>
    <w:rPr>
      <w:b/>
      <w:bCs/>
    </w:rPr>
  </w:style>
  <w:style w:type="character" w:customStyle="1" w:styleId="CommentSubjectChar">
    <w:name w:val="Comment Subject Char"/>
    <w:basedOn w:val="CommentTextChar"/>
    <w:link w:val="CommentSubject"/>
    <w:uiPriority w:val="99"/>
    <w:semiHidden/>
    <w:rsid w:val="000602B3"/>
    <w:rPr>
      <w:b/>
      <w:bCs/>
      <w:sz w:val="20"/>
      <w:szCs w:val="20"/>
    </w:rPr>
  </w:style>
  <w:style w:type="paragraph" w:styleId="BalloonText">
    <w:name w:val="Balloon Text"/>
    <w:basedOn w:val="Normal"/>
    <w:link w:val="BalloonTextChar"/>
    <w:uiPriority w:val="99"/>
    <w:semiHidden/>
    <w:unhideWhenUsed/>
    <w:rsid w:val="00060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B3"/>
    <w:rPr>
      <w:rFonts w:ascii="Segoe UI" w:hAnsi="Segoe UI" w:cs="Segoe UI"/>
      <w:sz w:val="18"/>
      <w:szCs w:val="18"/>
    </w:rPr>
  </w:style>
  <w:style w:type="paragraph" w:styleId="FootnoteText">
    <w:name w:val="footnote text"/>
    <w:basedOn w:val="Normal"/>
    <w:link w:val="FootnoteTextChar"/>
    <w:uiPriority w:val="99"/>
    <w:semiHidden/>
    <w:unhideWhenUsed/>
    <w:rsid w:val="000F76F3"/>
    <w:rPr>
      <w:sz w:val="20"/>
      <w:szCs w:val="20"/>
    </w:rPr>
  </w:style>
  <w:style w:type="character" w:customStyle="1" w:styleId="FootnoteTextChar">
    <w:name w:val="Footnote Text Char"/>
    <w:basedOn w:val="DefaultParagraphFont"/>
    <w:link w:val="FootnoteText"/>
    <w:uiPriority w:val="99"/>
    <w:semiHidden/>
    <w:rsid w:val="000F76F3"/>
    <w:rPr>
      <w:sz w:val="20"/>
      <w:szCs w:val="20"/>
    </w:rPr>
  </w:style>
  <w:style w:type="character" w:styleId="FootnoteReference">
    <w:name w:val="footnote reference"/>
    <w:basedOn w:val="DefaultParagraphFont"/>
    <w:uiPriority w:val="99"/>
    <w:semiHidden/>
    <w:unhideWhenUsed/>
    <w:rsid w:val="000F76F3"/>
    <w:rPr>
      <w:vertAlign w:val="superscript"/>
    </w:rPr>
  </w:style>
  <w:style w:type="character" w:styleId="Hyperlink">
    <w:name w:val="Hyperlink"/>
    <w:basedOn w:val="DefaultParagraphFont"/>
    <w:uiPriority w:val="99"/>
    <w:unhideWhenUsed/>
    <w:rsid w:val="000F76F3"/>
    <w:rPr>
      <w:color w:val="0563C1" w:themeColor="hyperlink"/>
      <w:u w:val="single"/>
    </w:rPr>
  </w:style>
  <w:style w:type="character" w:styleId="FollowedHyperlink">
    <w:name w:val="FollowedHyperlink"/>
    <w:basedOn w:val="DefaultParagraphFont"/>
    <w:uiPriority w:val="99"/>
    <w:semiHidden/>
    <w:unhideWhenUsed/>
    <w:rsid w:val="000F76F3"/>
    <w:rPr>
      <w:color w:val="954F72" w:themeColor="followedHyperlink"/>
      <w:u w:val="single"/>
    </w:rPr>
  </w:style>
  <w:style w:type="paragraph" w:styleId="Header">
    <w:name w:val="header"/>
    <w:basedOn w:val="Normal"/>
    <w:link w:val="HeaderChar"/>
    <w:uiPriority w:val="99"/>
    <w:unhideWhenUsed/>
    <w:rsid w:val="0000008F"/>
    <w:pPr>
      <w:tabs>
        <w:tab w:val="center" w:pos="4680"/>
        <w:tab w:val="right" w:pos="9360"/>
      </w:tabs>
    </w:pPr>
  </w:style>
  <w:style w:type="character" w:customStyle="1" w:styleId="HeaderChar">
    <w:name w:val="Header Char"/>
    <w:basedOn w:val="DefaultParagraphFont"/>
    <w:link w:val="Header"/>
    <w:uiPriority w:val="99"/>
    <w:rsid w:val="0000008F"/>
  </w:style>
  <w:style w:type="paragraph" w:styleId="Footer">
    <w:name w:val="footer"/>
    <w:basedOn w:val="Normal"/>
    <w:link w:val="FooterChar"/>
    <w:uiPriority w:val="99"/>
    <w:unhideWhenUsed/>
    <w:rsid w:val="0000008F"/>
    <w:pPr>
      <w:tabs>
        <w:tab w:val="center" w:pos="4680"/>
        <w:tab w:val="right" w:pos="9360"/>
      </w:tabs>
    </w:pPr>
  </w:style>
  <w:style w:type="character" w:customStyle="1" w:styleId="FooterChar">
    <w:name w:val="Footer Char"/>
    <w:basedOn w:val="DefaultParagraphFont"/>
    <w:link w:val="Footer"/>
    <w:uiPriority w:val="99"/>
    <w:rsid w:val="0000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303">
      <w:bodyDiv w:val="1"/>
      <w:marLeft w:val="0"/>
      <w:marRight w:val="0"/>
      <w:marTop w:val="0"/>
      <w:marBottom w:val="0"/>
      <w:divBdr>
        <w:top w:val="none" w:sz="0" w:space="0" w:color="auto"/>
        <w:left w:val="none" w:sz="0" w:space="0" w:color="auto"/>
        <w:bottom w:val="none" w:sz="0" w:space="0" w:color="auto"/>
        <w:right w:val="none" w:sz="0" w:space="0" w:color="auto"/>
      </w:divBdr>
    </w:div>
    <w:div w:id="18136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thelancet.com/pdfs/journals/lancet/PIIS0140-6736(14)60931-4.pdf" TargetMode="External"/><Relationship Id="rId3" Type="http://schemas.openxmlformats.org/officeDocument/2006/relationships/hyperlink" Target="https://www.nswp.org/sites/nswp.org/files/impact_of_criminalisation_pb_prf01.pdf" TargetMode="External"/><Relationship Id="rId7" Type="http://schemas.openxmlformats.org/officeDocument/2006/relationships/hyperlink" Target="https://www.thelancet.com/series/HIV-and-sex-workers" TargetMode="External"/><Relationship Id="rId2" Type="http://schemas.openxmlformats.org/officeDocument/2006/relationships/hyperlink" Target="http://www.unaids.org/en/resources/documents/2012/20120402_UNAIDS-guidance-note-HIV-sex-work" TargetMode="External"/><Relationship Id="rId1" Type="http://schemas.openxmlformats.org/officeDocument/2006/relationships/hyperlink" Target="http://www.nswp.org" TargetMode="External"/><Relationship Id="rId6" Type="http://schemas.openxmlformats.org/officeDocument/2006/relationships/hyperlink" Target="http://www.unaids.org/en/20180718_GR2018" TargetMode="External"/><Relationship Id="rId5" Type="http://schemas.openxmlformats.org/officeDocument/2006/relationships/hyperlink" Target="https://hivlawcommission.org/supplement/" TargetMode="External"/><Relationship Id="rId4" Type="http://schemas.openxmlformats.org/officeDocument/2006/relationships/hyperlink" Target="https://hivlawcommission.org/report/" TargetMode="External"/><Relationship Id="rId9" Type="http://schemas.openxmlformats.org/officeDocument/2006/relationships/hyperlink" Target="http://www.unaids.org/en/resources/documents/2012/20120402_UNAIDS-guidance-note-HIV-sex-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928B9-6A18-4684-83D5-64CEFB2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Sladden</dc:creator>
  <cp:keywords/>
  <dc:description/>
  <cp:lastModifiedBy>Tim Sladden</cp:lastModifiedBy>
  <cp:revision>3</cp:revision>
  <cp:lastPrinted>2019-02-14T15:06:00Z</cp:lastPrinted>
  <dcterms:created xsi:type="dcterms:W3CDTF">2019-02-21T17:26:00Z</dcterms:created>
  <dcterms:modified xsi:type="dcterms:W3CDTF">2019-02-22T13:22:00Z</dcterms:modified>
</cp:coreProperties>
</file>